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line="234"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81"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ANNUAL REPORT PURSUANT TO SECTION 13 OR 15(d) OF THE SECURITIES EXCHANGE ACT OF 1934</w:t>
      </w:r>
    </w:p>
    <w:p>
      <w:pPr>
        <w:spacing w:after="0" w:line="1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For the fiscal year ended December 28, 2024</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or</w:t>
      </w:r>
    </w:p>
    <w:p>
      <w:pPr>
        <w:spacing w:after="0" w:line="97" w:lineRule="exact"/>
        <w:rPr>
          <w:sz w:val="24"/>
          <w:szCs w:val="24"/>
          <w:color w:val="auto"/>
        </w:rPr>
      </w:pPr>
    </w:p>
    <w:p>
      <w:pPr>
        <w:ind w:left="440" w:right="280" w:hanging="414"/>
        <w:spacing w:after="0" w:line="238" w:lineRule="auto"/>
        <w:tabs>
          <w:tab w:leader="none" w:pos="4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79" w:lineRule="exact"/>
        <w:rPr>
          <w:sz w:val="24"/>
          <w:szCs w:val="24"/>
          <w:color w:val="auto"/>
        </w:rPr>
      </w:pPr>
    </w:p>
    <w:tbl>
      <w:tblPr>
        <w:tblLayout w:type="fixed"/>
        <w:tblInd w:w="1180" w:type="dxa"/>
        <w:tblCellMar>
          <w:top w:w="0" w:type="dxa"/>
          <w:left w:w="0" w:type="dxa"/>
          <w:bottom w:w="0" w:type="dxa"/>
          <w:right w:w="0" w:type="dxa"/>
        </w:tblCellMar>
      </w:tblPr>
      <w:tr>
        <w:trPr>
          <w:trHeight w:val="207"/>
        </w:trPr>
        <w:tc>
          <w:tcPr>
            <w:tcW w:w="1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For the transition period from</w:t>
            </w:r>
          </w:p>
        </w:tc>
        <w:tc>
          <w:tcPr>
            <w:tcW w:w="460" w:type="dxa"/>
            <w:vAlign w:val="bottom"/>
            <w:tcBorders>
              <w:bottom w:val="single" w:sz="8" w:color="auto"/>
            </w:tcBorders>
          </w:tcPr>
          <w:p>
            <w:pPr>
              <w:spacing w:after="0"/>
              <w:rPr>
                <w:sz w:val="17"/>
                <w:szCs w:val="17"/>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w:t>
            </w:r>
          </w:p>
        </w:tc>
        <w:tc>
          <w:tcPr>
            <w:tcW w:w="460" w:type="dxa"/>
            <w:vAlign w:val="bottom"/>
            <w:tcBorders>
              <w:bottom w:val="single" w:sz="8" w:color="auto"/>
            </w:tcBorders>
          </w:tcPr>
          <w:p>
            <w:pPr>
              <w:spacing w:after="0"/>
              <w:rPr>
                <w:sz w:val="17"/>
                <w:szCs w:val="17"/>
                <w:color w:val="auto"/>
              </w:rPr>
            </w:pPr>
          </w:p>
        </w:tc>
        <w:tc>
          <w:tcPr>
            <w:tcW w:w="2820" w:type="dxa"/>
            <w:vAlign w:val="bottom"/>
          </w:tcPr>
          <w:p>
            <w:pPr>
              <w:spacing w:after="0"/>
              <w:rPr>
                <w:sz w:val="17"/>
                <w:szCs w:val="17"/>
                <w:color w:val="auto"/>
              </w:rPr>
            </w:pPr>
          </w:p>
        </w:tc>
      </w:tr>
      <w:tr>
        <w:trPr>
          <w:trHeight w:val="330"/>
        </w:trPr>
        <w:tc>
          <w:tcPr>
            <w:tcW w:w="1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360" w:type="dxa"/>
            <w:vAlign w:val="bottom"/>
            <w:gridSpan w:val="7"/>
          </w:tcPr>
          <w:p>
            <w:pPr>
              <w:jc w:val="center"/>
              <w:ind w:right="2468"/>
              <w:spacing w:after="0"/>
              <w:rPr>
                <w:sz w:val="20"/>
                <w:szCs w:val="20"/>
                <w:color w:val="auto"/>
              </w:rPr>
            </w:pPr>
            <w:r>
              <w:rPr>
                <w:rFonts w:ascii="Times New Roman" w:cs="Times New Roman" w:eastAsia="Times New Roman" w:hAnsi="Times New Roman"/>
                <w:sz w:val="22"/>
                <w:szCs w:val="22"/>
                <w:color w:val="auto"/>
                <w:w w:val="98"/>
              </w:rPr>
              <w:t>Commission file number 001-06024</w:t>
            </w:r>
          </w:p>
        </w:tc>
      </w:tr>
      <w:tr>
        <w:trPr>
          <w:trHeight w:val="469"/>
        </w:trPr>
        <w:tc>
          <w:tcPr>
            <w:tcW w:w="8900" w:type="dxa"/>
            <w:vAlign w:val="bottom"/>
            <w:gridSpan w:val="9"/>
          </w:tcPr>
          <w:p>
            <w:pPr>
              <w:jc w:val="center"/>
              <w:spacing w:after="0"/>
              <w:rPr>
                <w:sz w:val="20"/>
                <w:szCs w:val="20"/>
                <w:color w:val="auto"/>
              </w:rPr>
            </w:pPr>
            <w:r>
              <w:rPr>
                <w:rFonts w:ascii="Times New Roman" w:cs="Times New Roman" w:eastAsia="Times New Roman" w:hAnsi="Times New Roman"/>
                <w:sz w:val="40"/>
                <w:szCs w:val="40"/>
                <w:b w:val="1"/>
                <w:bCs w:val="1"/>
                <w:color w:val="auto"/>
                <w:w w:val="98"/>
              </w:rPr>
              <w:t>WOLVERINE WORLD WIDE, INC.</w:t>
            </w:r>
          </w:p>
        </w:tc>
      </w:tr>
      <w:tr>
        <w:trPr>
          <w:trHeight w:val="234"/>
        </w:trPr>
        <w:tc>
          <w:tcPr>
            <w:tcW w:w="1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360" w:type="dxa"/>
            <w:vAlign w:val="bottom"/>
            <w:gridSpan w:val="7"/>
          </w:tcPr>
          <w:p>
            <w:pPr>
              <w:jc w:val="center"/>
              <w:ind w:right="2488"/>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405"/>
        </w:trPr>
        <w:tc>
          <w:tcPr>
            <w:tcW w:w="15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7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4"/>
          </w:tcPr>
          <w:p>
            <w:pPr>
              <w:jc w:val="right"/>
              <w:ind w:right="1608"/>
              <w:spacing w:after="0"/>
              <w:rPr>
                <w:sz w:val="20"/>
                <w:szCs w:val="20"/>
                <w:color w:val="auto"/>
              </w:rPr>
            </w:pPr>
            <w:r>
              <w:rPr>
                <w:rFonts w:ascii="Times New Roman" w:cs="Times New Roman" w:eastAsia="Times New Roman" w:hAnsi="Times New Roman"/>
                <w:sz w:val="18"/>
                <w:szCs w:val="18"/>
                <w:b w:val="1"/>
                <w:bCs w:val="1"/>
                <w:color w:val="auto"/>
              </w:rPr>
              <w:t>38-1185150</w:t>
            </w:r>
          </w:p>
        </w:tc>
      </w:tr>
      <w:tr>
        <w:trPr>
          <w:trHeight w:val="133"/>
        </w:trPr>
        <w:tc>
          <w:tcPr>
            <w:tcW w:w="4260" w:type="dxa"/>
            <w:vAlign w:val="bottom"/>
            <w:gridSpan w:val="3"/>
          </w:tcPr>
          <w:p>
            <w:pPr>
              <w:jc w:val="center"/>
              <w:spacing w:after="0" w:line="133"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20" w:type="dxa"/>
            <w:vAlign w:val="bottom"/>
          </w:tcPr>
          <w:p>
            <w:pPr>
              <w:jc w:val="center"/>
              <w:ind w:right="1328"/>
              <w:spacing w:after="0" w:line="133"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4940" w:type="dxa"/>
            <w:vAlign w:val="bottom"/>
            <w:gridSpan w:val="5"/>
          </w:tcPr>
          <w:p>
            <w:pPr>
              <w:jc w:val="center"/>
              <w:ind w:right="700"/>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20" w:type="dxa"/>
            <w:vAlign w:val="bottom"/>
          </w:tcPr>
          <w:p>
            <w:pPr>
              <w:jc w:val="center"/>
              <w:ind w:right="1328"/>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285"/>
        </w:trPr>
        <w:tc>
          <w:tcPr>
            <w:tcW w:w="4940" w:type="dxa"/>
            <w:vAlign w:val="bottom"/>
            <w:gridSpan w:val="5"/>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9341 Courtland Drive N.E.</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38"/>
        </w:trPr>
        <w:tc>
          <w:tcPr>
            <w:tcW w:w="156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Rockford</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w:t>
            </w:r>
          </w:p>
        </w:tc>
        <w:tc>
          <w:tcPr>
            <w:tcW w:w="240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Michigan</w:t>
            </w:r>
          </w:p>
        </w:tc>
        <w:tc>
          <w:tcPr>
            <w:tcW w:w="3960" w:type="dxa"/>
            <w:vAlign w:val="bottom"/>
            <w:gridSpan w:val="4"/>
          </w:tcPr>
          <w:p>
            <w:pPr>
              <w:jc w:val="right"/>
              <w:ind w:right="1808"/>
              <w:spacing w:after="0"/>
              <w:rPr>
                <w:sz w:val="20"/>
                <w:szCs w:val="20"/>
                <w:color w:val="auto"/>
              </w:rPr>
            </w:pPr>
            <w:r>
              <w:rPr>
                <w:rFonts w:ascii="Times New Roman" w:cs="Times New Roman" w:eastAsia="Times New Roman" w:hAnsi="Times New Roman"/>
                <w:sz w:val="18"/>
                <w:szCs w:val="18"/>
                <w:b w:val="1"/>
                <w:bCs w:val="1"/>
                <w:color w:val="auto"/>
              </w:rPr>
              <w:t>49351</w:t>
            </w:r>
          </w:p>
        </w:tc>
      </w:tr>
      <w:tr>
        <w:trPr>
          <w:trHeight w:val="182"/>
        </w:trPr>
        <w:tc>
          <w:tcPr>
            <w:tcW w:w="426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4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2820" w:type="dxa"/>
            <w:vAlign w:val="bottom"/>
            <w:tcBorders>
              <w:top w:val="single" w:sz="8" w:color="auto"/>
            </w:tcBorders>
          </w:tcPr>
          <w:p>
            <w:pPr>
              <w:jc w:val="center"/>
              <w:ind w:right="1348"/>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(616) 866-5500</w:t>
      </w:r>
    </w:p>
    <w:p>
      <w:pPr>
        <w:spacing w:after="0" w:line="216"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5" w:lineRule="exact"/>
        <w:rPr>
          <w:sz w:val="24"/>
          <w:szCs w:val="24"/>
          <w:color w:val="auto"/>
        </w:rPr>
      </w:pPr>
    </w:p>
    <w:tbl>
      <w:tblPr>
        <w:tblLayout w:type="fixed"/>
        <w:tblInd w:w="340" w:type="dxa"/>
        <w:tblCellMar>
          <w:top w:w="0" w:type="dxa"/>
          <w:left w:w="0" w:type="dxa"/>
          <w:bottom w:w="0" w:type="dxa"/>
          <w:right w:w="0" w:type="dxa"/>
        </w:tblCellMar>
      </w:tblPr>
      <w:tr>
        <w:trPr>
          <w:trHeight w:val="161"/>
        </w:trPr>
        <w:tc>
          <w:tcPr>
            <w:tcW w:w="214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960" w:type="dxa"/>
            <w:vAlign w:val="bottom"/>
          </w:tcPr>
          <w:p>
            <w:pPr>
              <w:spacing w:after="0"/>
              <w:rPr>
                <w:sz w:val="13"/>
                <w:szCs w:val="13"/>
                <w:color w:val="auto"/>
              </w:rPr>
            </w:pPr>
          </w:p>
        </w:tc>
        <w:tc>
          <w:tcPr>
            <w:tcW w:w="1840" w:type="dxa"/>
            <w:vAlign w:val="bottom"/>
            <w:gridSpan w:val="3"/>
          </w:tcPr>
          <w:p>
            <w:pPr>
              <w:jc w:val="center"/>
              <w:ind w:left="48"/>
              <w:spacing w:after="0"/>
              <w:rPr>
                <w:sz w:val="20"/>
                <w:szCs w:val="20"/>
                <w:color w:val="auto"/>
              </w:rPr>
            </w:pPr>
            <w:r>
              <w:rPr>
                <w:rFonts w:ascii="Times New Roman" w:cs="Times New Roman" w:eastAsia="Times New Roman" w:hAnsi="Times New Roman"/>
                <w:sz w:val="14"/>
                <w:szCs w:val="14"/>
                <w:color w:val="auto"/>
              </w:rPr>
              <w:t>Trading Symbol(s)</w:t>
            </w:r>
          </w:p>
        </w:tc>
        <w:tc>
          <w:tcPr>
            <w:tcW w:w="33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140" w:type="dxa"/>
            <w:vAlign w:val="bottom"/>
            <w:gridSpan w:val="3"/>
          </w:tcPr>
          <w:p>
            <w:pPr>
              <w:jc w:val="center"/>
              <w:ind w:left="1070"/>
              <w:spacing w:after="0"/>
              <w:rPr>
                <w:sz w:val="20"/>
                <w:szCs w:val="20"/>
                <w:color w:val="auto"/>
              </w:rPr>
            </w:pPr>
            <w:r>
              <w:rPr>
                <w:rFonts w:ascii="Times New Roman" w:cs="Times New Roman" w:eastAsia="Times New Roman" w:hAnsi="Times New Roman"/>
                <w:sz w:val="18"/>
                <w:szCs w:val="18"/>
                <w:color w:val="auto"/>
                <w:w w:val="99"/>
              </w:rPr>
              <w:t>Common Stock, $1 Par Value</w:t>
            </w:r>
          </w:p>
        </w:tc>
        <w:tc>
          <w:tcPr>
            <w:tcW w:w="440" w:type="dxa"/>
            <w:vAlign w:val="bottom"/>
          </w:tcPr>
          <w:p>
            <w:pPr>
              <w:spacing w:after="0"/>
              <w:rPr>
                <w:sz w:val="22"/>
                <w:szCs w:val="22"/>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WWW</w:t>
            </w:r>
          </w:p>
        </w:tc>
        <w:tc>
          <w:tcPr>
            <w:tcW w:w="340" w:type="dxa"/>
            <w:vAlign w:val="bottom"/>
          </w:tcPr>
          <w:p>
            <w:pPr>
              <w:spacing w:after="0"/>
              <w:rPr>
                <w:sz w:val="22"/>
                <w:szCs w:val="22"/>
                <w:color w:val="auto"/>
              </w:rPr>
            </w:pPr>
          </w:p>
        </w:tc>
        <w:tc>
          <w:tcPr>
            <w:tcW w:w="22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1"/>
        </w:trPr>
        <w:tc>
          <w:tcPr>
            <w:tcW w:w="2140" w:type="dxa"/>
            <w:vAlign w:val="bottom"/>
          </w:tcPr>
          <w:p>
            <w:pPr>
              <w:spacing w:after="0"/>
              <w:rPr>
                <w:sz w:val="24"/>
                <w:szCs w:val="24"/>
                <w:color w:val="auto"/>
              </w:rPr>
            </w:pPr>
          </w:p>
        </w:tc>
        <w:tc>
          <w:tcPr>
            <w:tcW w:w="6460" w:type="dxa"/>
            <w:vAlign w:val="bottom"/>
            <w:gridSpan w:val="7"/>
          </w:tcPr>
          <w:p>
            <w:pPr>
              <w:ind w:left="860"/>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tc>
        <w:tc>
          <w:tcPr>
            <w:tcW w:w="700" w:type="dxa"/>
            <w:vAlign w:val="bottom"/>
            <w:gridSpan w:val="2"/>
            <w:vMerge w:val="restart"/>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640" w:type="dxa"/>
            <w:vAlign w:val="bottom"/>
            <w:vMerge w:val="restart"/>
          </w:tcPr>
          <w:p>
            <w:pPr>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2"/>
        </w:trPr>
        <w:tc>
          <w:tcPr>
            <w:tcW w:w="86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c>
          <w:tcPr>
            <w:tcW w:w="700" w:type="dxa"/>
            <w:vAlign w:val="bottom"/>
            <w:gridSpan w:val="2"/>
            <w:vMerge w:val="continue"/>
          </w:tcPr>
          <w:p>
            <w:pPr>
              <w:spacing w:after="0"/>
              <w:rPr>
                <w:sz w:val="21"/>
                <w:szCs w:val="21"/>
                <w:color w:val="auto"/>
              </w:rPr>
            </w:pPr>
          </w:p>
        </w:tc>
        <w:tc>
          <w:tcPr>
            <w:tcW w:w="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03"/>
        </w:trPr>
        <w:tc>
          <w:tcPr>
            <w:tcW w:w="860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Indicate by check mark if the registrant is not required to file reports pursuant to Section 13 or Section 15(d) of the Act.</w:t>
            </w:r>
          </w:p>
        </w:tc>
        <w:tc>
          <w:tcPr>
            <w:tcW w:w="70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18"/>
                <w:szCs w:val="18"/>
                <w:color w:val="auto"/>
                <w:w w:val="98"/>
              </w:rPr>
              <w:t xml:space="preserve">Yes </w:t>
            </w:r>
            <w:r>
              <w:rPr>
                <w:rFonts w:ascii="MS PGothic" w:cs="MS PGothic" w:eastAsia="MS PGothic" w:hAnsi="MS PGothic"/>
                <w:sz w:val="18"/>
                <w:szCs w:val="18"/>
                <w:color w:val="auto"/>
                <w:w w:val="98"/>
              </w:rPr>
              <w:t>☐</w:t>
            </w:r>
          </w:p>
        </w:tc>
        <w:tc>
          <w:tcPr>
            <w:tcW w:w="64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8" w:lineRule="exact"/>
        <w:rPr>
          <w:sz w:val="24"/>
          <w:szCs w:val="24"/>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65"/>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0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35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Accelerated filer</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0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35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5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Emerging growth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8" w:lineRule="exact"/>
        <w:rPr>
          <w:sz w:val="24"/>
          <w:szCs w:val="24"/>
          <w:color w:val="auto"/>
        </w:rPr>
      </w:pPr>
    </w:p>
    <w:p>
      <w:pPr>
        <w:ind w:right="18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97" w:lineRule="exact"/>
        <w:rPr>
          <w:sz w:val="24"/>
          <w:szCs w:val="24"/>
          <w:color w:val="auto"/>
        </w:rPr>
      </w:pPr>
    </w:p>
    <w:p>
      <w:pPr>
        <w:ind w:right="100"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505460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480060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9" w:right="339" w:bottom="1440" w:gutter="0" w:footer="0" w:header="0"/>
        </w:sectPr>
      </w:pPr>
    </w:p>
    <w:bookmarkStart w:id="1" w:name="page2"/>
    <w:bookmarkEnd w:id="1"/>
    <w:p>
      <w:pPr>
        <w:ind w:right="24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305" w:lineRule="exact"/>
        <w:rPr>
          <w:sz w:val="20"/>
          <w:szCs w:val="20"/>
          <w:color w:val="auto"/>
        </w:rPr>
      </w:pPr>
    </w:p>
    <w:p>
      <w:pPr>
        <w:ind w:right="440" w:firstLine="324"/>
        <w:spacing w:after="0" w:line="258" w:lineRule="auto"/>
        <w:rPr>
          <w:sz w:val="20"/>
          <w:szCs w:val="20"/>
          <w:color w:val="auto"/>
        </w:rPr>
      </w:pPr>
      <w:r>
        <w:rPr>
          <w:rFonts w:ascii="Times New Roman" w:cs="Times New Roman" w:eastAsia="Times New Roman" w:hAnsi="Times New Roman"/>
          <w:sz w:val="18"/>
          <w:szCs w:val="18"/>
          <w:color w:val="auto"/>
        </w:rPr>
        <w:t>Indicate by check mark whether any of those error corrections are restatements that required a recovery analysis of incentive-based compensation received by any of the registrant’s executive officers during the relevant recovery period pursuant</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to §240.10D-1(b). </w:t>
      </w:r>
      <w:r>
        <w:rPr>
          <w:rFonts w:ascii="MS PGothic" w:cs="MS PGothic" w:eastAsia="MS PGothic" w:hAnsi="MS PGothic"/>
          <w:sz w:val="18"/>
          <w:szCs w:val="18"/>
          <w:color w:val="auto"/>
        </w:rPr>
        <w:t>☐</w:t>
      </w:r>
    </w:p>
    <w:p>
      <w:pPr>
        <w:spacing w:after="0" w:line="306" w:lineRule="exact"/>
        <w:rPr>
          <w:sz w:val="20"/>
          <w:szCs w:val="20"/>
          <w:color w:val="auto"/>
        </w:rPr>
      </w:pPr>
    </w:p>
    <w:p>
      <w:pPr>
        <w:ind w:left="340"/>
        <w:spacing w:after="0" w:line="207" w:lineRule="exact"/>
        <w:tabs>
          <w:tab w:leader="none" w:pos="7900" w:val="left"/>
          <w:tab w:leader="none" w:pos="86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registrant’s voting stock held by non-affiliates of the registrant based on the closing price on the New York Stock Exchange on June 28, 2024, the last business day of the registrant’s most recently completed second fiscal quarter: $1,056,116,428. Number of shares outstanding of the registrant’s Common Stock, $1 par value as of February 7, 2025: 80,371,566.</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8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Portions of the definitive proxy statement for the registrant’s annual stockholders’ meeting expected to be held May 1, 2025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285750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2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780" w:type="dxa"/>
            <w:vAlign w:val="bottom"/>
            <w:gridSpan w:val="13"/>
          </w:tcPr>
          <w:p>
            <w:pPr>
              <w:ind w:left="1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60" w:type="dxa"/>
            <w:vAlign w:val="bottom"/>
          </w:tcPr>
          <w:p>
            <w:pPr>
              <w:spacing w:after="0"/>
              <w:rPr>
                <w:sz w:val="20"/>
                <w:szCs w:val="20"/>
                <w:color w:val="auto"/>
              </w:rPr>
            </w:pPr>
          </w:p>
        </w:tc>
      </w:tr>
      <w:tr>
        <w:trPr>
          <w:trHeight w:val="535"/>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 I</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94"/>
        </w:trPr>
        <w:tc>
          <w:tcPr>
            <w:tcW w:w="220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tcPr>
          <w:p>
            <w:pPr>
              <w:spacing w:after="0" w:line="194" w:lineRule="exact"/>
              <w:rPr>
                <w:sz w:val="20"/>
                <w:szCs w:val="20"/>
                <w:color w:val="auto"/>
              </w:rPr>
            </w:pPr>
            <w:r>
              <w:rPr>
                <w:rFonts w:ascii="Times New Roman" w:cs="Times New Roman" w:eastAsia="Times New Roman" w:hAnsi="Times New Roman"/>
                <w:sz w:val="18"/>
                <w:szCs w:val="18"/>
                <w:color w:val="0000FF"/>
                <w:w w:val="96"/>
              </w:rPr>
              <w:t>Business</w:t>
            </w:r>
          </w:p>
        </w:tc>
        <w:tc>
          <w:tcPr>
            <w:tcW w:w="7740" w:type="dxa"/>
            <w:vAlign w:val="bottom"/>
            <w:gridSpan w:val="24"/>
          </w:tcPr>
          <w:p>
            <w:pPr>
              <w:spacing w:after="0"/>
              <w:rPr>
                <w:sz w:val="16"/>
                <w:szCs w:val="16"/>
                <w:color w:val="auto"/>
              </w:rPr>
            </w:pPr>
          </w:p>
        </w:tc>
        <w:tc>
          <w:tcPr>
            <w:tcW w:w="6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0000FF"/>
              </w:rPr>
              <w:t>5</w:t>
            </w:r>
          </w:p>
        </w:tc>
      </w:tr>
      <w:tr>
        <w:trPr>
          <w:trHeight w:val="209"/>
        </w:trPr>
        <w:tc>
          <w:tcPr>
            <w:tcW w:w="2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1A.</w:t>
            </w:r>
          </w:p>
        </w:tc>
        <w:tc>
          <w:tcPr>
            <w:tcW w:w="83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w:t>
            </w:r>
          </w:p>
        </w:tc>
      </w:tr>
      <w:tr>
        <w:trPr>
          <w:trHeight w:val="20"/>
        </w:trPr>
        <w:tc>
          <w:tcPr>
            <w:tcW w:w="22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9"/>
        </w:trPr>
        <w:tc>
          <w:tcPr>
            <w:tcW w:w="2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1B.</w:t>
            </w:r>
          </w:p>
        </w:tc>
        <w:tc>
          <w:tcPr>
            <w:tcW w:w="83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w:t>
            </w:r>
          </w:p>
        </w:tc>
      </w:tr>
      <w:tr>
        <w:trPr>
          <w:trHeight w:val="210"/>
        </w:trPr>
        <w:tc>
          <w:tcPr>
            <w:tcW w:w="2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1C.</w:t>
            </w:r>
          </w:p>
        </w:tc>
        <w:tc>
          <w:tcPr>
            <w:tcW w:w="204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6340" w:type="dxa"/>
            <w:vAlign w:val="bottom"/>
            <w:gridSpan w:val="14"/>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w:t>
            </w:r>
          </w:p>
        </w:tc>
      </w:tr>
      <w:tr>
        <w:trPr>
          <w:trHeight w:val="209"/>
        </w:trPr>
        <w:tc>
          <w:tcPr>
            <w:tcW w:w="2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380" w:type="dxa"/>
            <w:vAlign w:val="bottom"/>
            <w:gridSpan w:val="21"/>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w:t>
            </w:r>
          </w:p>
        </w:tc>
      </w:tr>
      <w:tr>
        <w:trPr>
          <w:trHeight w:val="20"/>
        </w:trPr>
        <w:tc>
          <w:tcPr>
            <w:tcW w:w="22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60" w:type="dxa"/>
            <w:vAlign w:val="bottom"/>
            <w:tcBorders>
              <w:left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9"/>
        </w:trPr>
        <w:tc>
          <w:tcPr>
            <w:tcW w:w="2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040" w:type="dxa"/>
            <w:vAlign w:val="bottom"/>
            <w:gridSpan w:val="19"/>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w:t>
            </w:r>
          </w:p>
        </w:tc>
      </w:tr>
      <w:tr>
        <w:trPr>
          <w:trHeight w:val="209"/>
        </w:trPr>
        <w:tc>
          <w:tcPr>
            <w:tcW w:w="2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6600" w:type="dxa"/>
            <w:vAlign w:val="bottom"/>
            <w:gridSpan w:val="16"/>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w:t>
            </w:r>
          </w:p>
        </w:tc>
      </w:tr>
      <w:tr>
        <w:trPr>
          <w:trHeight w:val="210"/>
        </w:trPr>
        <w:tc>
          <w:tcPr>
            <w:tcW w:w="2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Supplemental Item.</w:t>
            </w:r>
          </w:p>
        </w:tc>
        <w:tc>
          <w:tcPr>
            <w:tcW w:w="83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Executive Officers of the Registrant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w:t>
            </w:r>
          </w:p>
        </w:tc>
      </w:tr>
      <w:tr>
        <w:trPr>
          <w:trHeight w:val="515"/>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 II</w:t>
            </w: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94"/>
        </w:trPr>
        <w:tc>
          <w:tcPr>
            <w:tcW w:w="220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8080" w:type="dxa"/>
            <w:vAlign w:val="bottom"/>
            <w:tcBorders>
              <w:bottom w:val="single" w:sz="8" w:color="0000FF"/>
            </w:tcBorders>
            <w:gridSpan w:val="24"/>
          </w:tcPr>
          <w:p>
            <w:pPr>
              <w:spacing w:after="0" w:line="194" w:lineRule="exact"/>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300" w:type="dxa"/>
            <w:vAlign w:val="bottom"/>
          </w:tcPr>
          <w:p>
            <w:pPr>
              <w:spacing w:after="0"/>
              <w:rPr>
                <w:sz w:val="16"/>
                <w:szCs w:val="16"/>
                <w:color w:val="auto"/>
              </w:rPr>
            </w:pPr>
          </w:p>
        </w:tc>
        <w:tc>
          <w:tcPr>
            <w:tcW w:w="6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0000FF"/>
              </w:rPr>
              <w:t>22</w:t>
            </w:r>
          </w:p>
        </w:tc>
      </w:tr>
      <w:tr>
        <w:trPr>
          <w:trHeight w:val="209"/>
        </w:trPr>
        <w:tc>
          <w:tcPr>
            <w:tcW w:w="2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6.</w:t>
            </w:r>
          </w:p>
        </w:tc>
        <w:tc>
          <w:tcPr>
            <w:tcW w:w="83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Reserved</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w:t>
            </w:r>
          </w:p>
        </w:tc>
      </w:tr>
      <w:tr>
        <w:trPr>
          <w:trHeight w:val="20"/>
        </w:trPr>
        <w:tc>
          <w:tcPr>
            <w:tcW w:w="22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9"/>
        </w:trPr>
        <w:tc>
          <w:tcPr>
            <w:tcW w:w="2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1920" w:type="dxa"/>
            <w:vAlign w:val="bottom"/>
            <w:gridSpan w:val="4"/>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w:t>
            </w:r>
          </w:p>
        </w:tc>
      </w:tr>
      <w:tr>
        <w:trPr>
          <w:trHeight w:val="209"/>
        </w:trPr>
        <w:tc>
          <w:tcPr>
            <w:tcW w:w="2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020" w:type="dxa"/>
            <w:vAlign w:val="bottom"/>
            <w:gridSpan w:val="7"/>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33</w:t>
            </w:r>
          </w:p>
        </w:tc>
      </w:tr>
      <w:tr>
        <w:trPr>
          <w:trHeight w:val="210"/>
        </w:trPr>
        <w:tc>
          <w:tcPr>
            <w:tcW w:w="2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8.</w:t>
            </w:r>
          </w:p>
        </w:tc>
        <w:tc>
          <w:tcPr>
            <w:tcW w:w="83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35</w:t>
            </w:r>
          </w:p>
        </w:tc>
      </w:tr>
      <w:tr>
        <w:trPr>
          <w:trHeight w:val="20"/>
        </w:trPr>
        <w:tc>
          <w:tcPr>
            <w:tcW w:w="220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9"/>
        </w:trPr>
        <w:tc>
          <w:tcPr>
            <w:tcW w:w="2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9.</w:t>
            </w:r>
          </w:p>
        </w:tc>
        <w:tc>
          <w:tcPr>
            <w:tcW w:w="83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76</w:t>
            </w:r>
          </w:p>
        </w:tc>
      </w:tr>
      <w:tr>
        <w:trPr>
          <w:trHeight w:val="209"/>
        </w:trPr>
        <w:tc>
          <w:tcPr>
            <w:tcW w:w="2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9A.</w:t>
            </w:r>
          </w:p>
        </w:tc>
        <w:tc>
          <w:tcPr>
            <w:tcW w:w="6500" w:type="dxa"/>
            <w:vAlign w:val="bottom"/>
            <w:tcBorders>
              <w:top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880" w:type="dxa"/>
            <w:vAlign w:val="bottom"/>
            <w:gridSpan w:val="3"/>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76</w:t>
            </w:r>
          </w:p>
        </w:tc>
      </w:tr>
      <w:tr>
        <w:trPr>
          <w:trHeight w:val="210"/>
        </w:trPr>
        <w:tc>
          <w:tcPr>
            <w:tcW w:w="2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3"/>
          </w:tcPr>
          <w:p>
            <w:pPr>
              <w:spacing w:after="0"/>
              <w:rPr>
                <w:sz w:val="18"/>
                <w:szCs w:val="18"/>
                <w:color w:val="auto"/>
              </w:rPr>
            </w:pPr>
          </w:p>
        </w:tc>
        <w:tc>
          <w:tcPr>
            <w:tcW w:w="6620" w:type="dxa"/>
            <w:vAlign w:val="bottom"/>
            <w:gridSpan w:val="17"/>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76</w:t>
            </w:r>
          </w:p>
        </w:tc>
      </w:tr>
      <w:tr>
        <w:trPr>
          <w:trHeight w:val="209"/>
        </w:trPr>
        <w:tc>
          <w:tcPr>
            <w:tcW w:w="2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9C.</w:t>
            </w:r>
          </w:p>
        </w:tc>
        <w:tc>
          <w:tcPr>
            <w:tcW w:w="83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76</w:t>
            </w:r>
          </w:p>
        </w:tc>
      </w:tr>
      <w:tr>
        <w:trPr>
          <w:trHeight w:val="515"/>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 III</w:t>
            </w: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94"/>
        </w:trPr>
        <w:tc>
          <w:tcPr>
            <w:tcW w:w="220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FF"/>
            </w:tcBorders>
            <w:gridSpan w:val="17"/>
          </w:tcPr>
          <w:p>
            <w:pPr>
              <w:spacing w:after="0" w:line="194" w:lineRule="exact"/>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4280" w:type="dxa"/>
            <w:vAlign w:val="bottom"/>
            <w:gridSpan w:val="8"/>
          </w:tcPr>
          <w:p>
            <w:pPr>
              <w:spacing w:after="0"/>
              <w:rPr>
                <w:sz w:val="16"/>
                <w:szCs w:val="16"/>
                <w:color w:val="auto"/>
              </w:rPr>
            </w:pPr>
          </w:p>
        </w:tc>
        <w:tc>
          <w:tcPr>
            <w:tcW w:w="6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0000FF"/>
              </w:rPr>
              <w:t>76</w:t>
            </w:r>
          </w:p>
        </w:tc>
      </w:tr>
      <w:tr>
        <w:trPr>
          <w:trHeight w:val="209"/>
        </w:trPr>
        <w:tc>
          <w:tcPr>
            <w:tcW w:w="2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11.</w:t>
            </w:r>
          </w:p>
        </w:tc>
        <w:tc>
          <w:tcPr>
            <w:tcW w:w="83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76</w:t>
            </w:r>
          </w:p>
        </w:tc>
      </w:tr>
      <w:tr>
        <w:trPr>
          <w:trHeight w:val="20"/>
        </w:trPr>
        <w:tc>
          <w:tcPr>
            <w:tcW w:w="220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9"/>
        </w:trPr>
        <w:tc>
          <w:tcPr>
            <w:tcW w:w="2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12.</w:t>
            </w:r>
          </w:p>
        </w:tc>
        <w:tc>
          <w:tcPr>
            <w:tcW w:w="83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77</w:t>
            </w:r>
          </w:p>
        </w:tc>
      </w:tr>
      <w:tr>
        <w:trPr>
          <w:trHeight w:val="210"/>
        </w:trPr>
        <w:tc>
          <w:tcPr>
            <w:tcW w:w="2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100" w:type="dxa"/>
            <w:vAlign w:val="bottom"/>
            <w:gridSpan w:val="2"/>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78</w:t>
            </w:r>
          </w:p>
        </w:tc>
      </w:tr>
      <w:tr>
        <w:trPr>
          <w:trHeight w:val="210"/>
        </w:trPr>
        <w:tc>
          <w:tcPr>
            <w:tcW w:w="2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2940" w:type="dxa"/>
            <w:vAlign w:val="bottom"/>
            <w:gridSpan w:val="5"/>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78</w:t>
            </w:r>
          </w:p>
        </w:tc>
      </w:tr>
      <w:tr>
        <w:trPr>
          <w:trHeight w:val="515"/>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 IV</w:t>
            </w: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94"/>
        </w:trPr>
        <w:tc>
          <w:tcPr>
            <w:tcW w:w="220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2900" w:type="dxa"/>
            <w:vAlign w:val="bottom"/>
            <w:tcBorders>
              <w:bottom w:val="single" w:sz="8" w:color="0000FF"/>
            </w:tcBorders>
            <w:gridSpan w:val="14"/>
          </w:tcPr>
          <w:p>
            <w:pPr>
              <w:spacing w:after="0" w:line="194" w:lineRule="exact"/>
              <w:rPr>
                <w:sz w:val="20"/>
                <w:szCs w:val="20"/>
                <w:color w:val="auto"/>
              </w:rPr>
            </w:pPr>
            <w:r>
              <w:rPr>
                <w:rFonts w:ascii="Times New Roman" w:cs="Times New Roman" w:eastAsia="Times New Roman" w:hAnsi="Times New Roman"/>
                <w:sz w:val="18"/>
                <w:szCs w:val="18"/>
                <w:color w:val="0000FF"/>
                <w:w w:val="99"/>
              </w:rPr>
              <w:t>Exhibits, Financial Statement Schedules</w:t>
            </w:r>
          </w:p>
        </w:tc>
        <w:tc>
          <w:tcPr>
            <w:tcW w:w="5480" w:type="dxa"/>
            <w:vAlign w:val="bottom"/>
            <w:gridSpan w:val="11"/>
          </w:tcPr>
          <w:p>
            <w:pPr>
              <w:spacing w:after="0"/>
              <w:rPr>
                <w:sz w:val="16"/>
                <w:szCs w:val="16"/>
                <w:color w:val="auto"/>
              </w:rPr>
            </w:pPr>
          </w:p>
        </w:tc>
        <w:tc>
          <w:tcPr>
            <w:tcW w:w="6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0000FF"/>
              </w:rPr>
              <w:t>78</w:t>
            </w:r>
          </w:p>
        </w:tc>
      </w:tr>
      <w:tr>
        <w:trPr>
          <w:trHeight w:val="210"/>
        </w:trPr>
        <w:tc>
          <w:tcPr>
            <w:tcW w:w="2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16.</w:t>
            </w:r>
          </w:p>
        </w:tc>
        <w:tc>
          <w:tcPr>
            <w:tcW w:w="83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83</w:t>
            </w:r>
          </w:p>
        </w:tc>
      </w:tr>
      <w:tr>
        <w:trPr>
          <w:trHeight w:val="52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SIGNATURES</w:t>
            </w: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84</w:t>
            </w:r>
          </w:p>
        </w:tc>
      </w:tr>
      <w:tr>
        <w:trPr>
          <w:trHeight w:val="459"/>
        </w:trPr>
        <w:tc>
          <w:tcPr>
            <w:tcW w:w="2200" w:type="dxa"/>
            <w:vAlign w:val="bottom"/>
          </w:tcPr>
          <w:p>
            <w:pPr>
              <w:spacing w:after="0"/>
              <w:rPr>
                <w:sz w:val="24"/>
                <w:szCs w:val="24"/>
                <w:color w:val="auto"/>
              </w:rPr>
            </w:pPr>
          </w:p>
        </w:tc>
        <w:tc>
          <w:tcPr>
            <w:tcW w:w="31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Appendix A: Financial Statement Schedule</w:t>
            </w:r>
          </w:p>
        </w:tc>
        <w:tc>
          <w:tcPr>
            <w:tcW w:w="5260" w:type="dxa"/>
            <w:vAlign w:val="bottom"/>
            <w:gridSpan w:val="10"/>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A-1</w:t>
            </w:r>
          </w:p>
        </w:tc>
      </w:tr>
      <w:tr>
        <w:trPr>
          <w:trHeight w:val="885"/>
        </w:trPr>
        <w:tc>
          <w:tcPr>
            <w:tcW w:w="2200" w:type="dxa"/>
            <w:vAlign w:val="bottom"/>
          </w:tcPr>
          <w:p>
            <w:pPr>
              <w:spacing w:after="0"/>
              <w:rPr>
                <w:sz w:val="24"/>
                <w:szCs w:val="24"/>
                <w:color w:val="auto"/>
              </w:rPr>
            </w:pPr>
          </w:p>
        </w:tc>
        <w:tc>
          <w:tcPr>
            <w:tcW w:w="4100" w:type="dxa"/>
            <w:vAlign w:val="bottom"/>
            <w:gridSpan w:val="17"/>
          </w:tcPr>
          <w:p>
            <w:pPr>
              <w:ind w:left="338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15"/>
        </w:trPr>
        <w:tc>
          <w:tcPr>
            <w:tcW w:w="22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document contains “forward-looking statements,” which are statements relating to future, not past, events. In this context, forward-looking statements often address management’s current beliefs, assumptions, expectations, estimates and projections about future business and financial performance, national, regional or global political, economic and market conditions, and the Company itself. Such statements often contain words such as “anticipates,” “believes,” “estimates,” “expects,” “forecasts,” “intends,” “is likely,” “plans,” “predicts,” “projects,” “should,” “will,” variations of such words, and similar expressions. Forward-looking statements, by their nature, address matters that are, to varying degrees, uncertain. Uncertainties that could cause the Company’s performance to differ materially from what is expressed in forward-looking statements include, but are not limited to, the following:</w:t>
      </w:r>
    </w:p>
    <w:p>
      <w:pPr>
        <w:spacing w:after="0" w:line="52" w:lineRule="exact"/>
        <w:rPr>
          <w:sz w:val="20"/>
          <w:szCs w:val="20"/>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conditions, employment rates, business conditions, interest rates, tax policies and other factors affecting consumer spending in the markets and regions in which the Company’s products are sold;</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for any reason to effectively compete in global footwear, apparel and direct-to-consumer markets;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maintain positive brand images and anticipate, understand and respond to changing footwear and apparel trends and consumer preferences;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effectively manage inventory levels;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changes in duties, tariffs, quotas or applicable assessments in countries of import and export;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and currency restrictions;</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and capacity constraints, production and distribution disruptions, including service interruptions at shipping and receiving ports, reduction in operating hours, labor shortages, and facility closures resulting in production delays at the Company’s manufacturers, quality issues, price increases or other risks associated with foreign sourcing;</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including the effect of inflationary pressures and availability of raw materials, inventories, services and labor for contract manufacturers;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relationships with, including the loss of, significant wholesale customers;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significant investment in, and performance of, the Company’s direct-to-consumer operations;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expansion into new markets and complementary product categories;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seasonality and unpredictable weather conditions;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general economic conditions and/or the credit markets on the Company’s manufacturers, distributors, suppliers, joint venture partners and wholesale customers;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Company’s effective tax rates;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licensees or distributors to meet planned annual sales goals or to make timely payments to the Company;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of doing business in developing countries and politically or economically volatile areas;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secure and protect owned intellectual property or use licensed intellectual property;</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compliance and litigation risks, including with respect to federal, state and local laws and regulations relating to the protection of the environment, environmental remediation and other related costs, and environmental effects on human health;</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breach of the Company’s databases or other systems, or those of its vendors, which contain certain personal information, payment card data or proprietary information, due to cyberattack or other similar events;</w:t>
      </w:r>
    </w:p>
    <w:p>
      <w:pPr>
        <w:spacing w:after="0" w:line="1" w:lineRule="exact"/>
        <w:rPr>
          <w:rFonts w:ascii="Times New Roman" w:cs="Times New Roman" w:eastAsia="Times New Roman" w:hAnsi="Times New Roman"/>
          <w:sz w:val="18"/>
          <w:szCs w:val="18"/>
          <w:color w:val="auto"/>
        </w:rPr>
      </w:pPr>
    </w:p>
    <w:p>
      <w:pPr>
        <w:ind w:left="660" w:right="20" w:hanging="328"/>
        <w:spacing w:after="0" w:line="257"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strategic actions, including new initiatives and ventures, acquisitions and dispositions, and the Company’s success in integrating acquired businesses, including </w:t>
      </w:r>
      <w:r>
        <w:rPr>
          <w:rFonts w:ascii="Times New Roman" w:cs="Times New Roman" w:eastAsia="Times New Roman" w:hAnsi="Times New Roman"/>
          <w:sz w:val="18"/>
          <w:szCs w:val="18"/>
          <w:i w:val="1"/>
          <w:iCs w:val="1"/>
          <w:color w:val="auto"/>
        </w:rPr>
        <w:t>Sweaty Betty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stockholder activism;</w:t>
      </w:r>
    </w:p>
    <w:p>
      <w:pPr>
        <w:spacing w:after="0" w:line="5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impairment to goodwill and other intangibles;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the Company's restructuring and realignment initiatives undertaken from time to time; and</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future pension funding requirements and pension expenses.</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or other uncertainties could cause a material difference between an actual outcome and a forward-looking statement. The uncertainties included here are not exhaustive and are described in more detail in Part I, Item 1A: “Risk Factors” of this Annual Report on Form 10-K. Given these risks and uncertainties, investors should not place undue reliance on forward-looking statements as a prediction of actual results. The Company does not undertake an obligation to update, amend or clarify forward-looking statements, whether as a result of new information, future events or otherwise. Any standards of measurement and performance made in reference to our environmental, social, governance and other sustainability plans and goals are developing and based on assumptions, and no assurance can be given that any such plan, initiative, projection, goal, commitment, expectation or prospect can or will be achieved.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Wolverine World Wide, Inc. (the “Company”) is a leading designer, marketer and licensor of a broad range of quality casual footwear and apparel, performance outdoor and athletic footwear and apparel, kids' footwear, industrial work boots and apparel, and uniform shoes and boots. The Company’s products are marketed worldwide in approximately 170 countries and territories through owned operations in the United States ("U.S."), Canada, the United Kingdom ("U.K.") and certain countries in continental Europe and Asia Pacific. In other regions (Latin America, portions of Europe and Asia Pacific, the Middle East and Africa), the Company relies on a network of third-party distributors, licensees and joint ventures.</w:t>
      </w:r>
    </w:p>
    <w:p>
      <w:pPr>
        <w:spacing w:after="0" w:line="129"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 xml:space="preserve">Today, the Company sources and markets a broad range of footwear and apparel styles, including shoes, boots and sandals under many recognizable brand names, including </w:t>
      </w:r>
      <w:r>
        <w:rPr>
          <w:rFonts w:ascii="Times New Roman" w:cs="Times New Roman" w:eastAsia="Times New Roman" w:hAnsi="Times New Roman"/>
          <w:sz w:val="18"/>
          <w:szCs w:val="18"/>
          <w:i w:val="1"/>
          <w:iCs w:val="1"/>
          <w:color w:val="auto"/>
        </w:rPr>
        <w:t>Bates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Harley-Davidson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Hush Puppies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HYTEST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Merrell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Saucony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Sweaty Betty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Wolverine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The Company licenses its </w:t>
      </w:r>
      <w:r>
        <w:rPr>
          <w:rFonts w:ascii="Times New Roman" w:cs="Times New Roman" w:eastAsia="Times New Roman" w:hAnsi="Times New Roman"/>
          <w:sz w:val="18"/>
          <w:szCs w:val="18"/>
          <w:i w:val="1"/>
          <w:iCs w:val="1"/>
          <w:color w:val="auto"/>
        </w:rPr>
        <w:t>Stride Rite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under a global license arrangement. The Company also markets </w:t>
      </w:r>
      <w:r>
        <w:rPr>
          <w:rFonts w:ascii="Times New Roman" w:cs="Times New Roman" w:eastAsia="Times New Roman" w:hAnsi="Times New Roman"/>
          <w:sz w:val="18"/>
          <w:szCs w:val="18"/>
          <w:i w:val="1"/>
          <w:iCs w:val="1"/>
          <w:color w:val="auto"/>
        </w:rPr>
        <w:t>Merrell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Wolverine</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brand apparel and accessories and licenses some of its brands for use on non-footwear products, including </w:t>
      </w:r>
      <w:r>
        <w:rPr>
          <w:rFonts w:ascii="Times New Roman" w:cs="Times New Roman" w:eastAsia="Times New Roman" w:hAnsi="Times New Roman"/>
          <w:sz w:val="18"/>
          <w:szCs w:val="18"/>
          <w:i w:val="1"/>
          <w:iCs w:val="1"/>
          <w:color w:val="auto"/>
        </w:rPr>
        <w:t>Hush Puppies</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apparel, eyewear, watches, socks, handbags and plush toys; </w:t>
      </w:r>
      <w:r>
        <w:rPr>
          <w:rFonts w:ascii="Times New Roman" w:cs="Times New Roman" w:eastAsia="Times New Roman" w:hAnsi="Times New Roman"/>
          <w:sz w:val="18"/>
          <w:szCs w:val="18"/>
          <w:i w:val="1"/>
          <w:iCs w:val="1"/>
          <w:color w:val="auto"/>
        </w:rPr>
        <w:t>Wolverine</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eyewear and gloves; and</w:t>
      </w:r>
      <w:r>
        <w:rPr>
          <w:rFonts w:ascii="Times New Roman" w:cs="Times New Roman" w:eastAsia="Times New Roman" w:hAnsi="Times New Roman"/>
          <w:sz w:val="18"/>
          <w:szCs w:val="18"/>
          <w:i w:val="1"/>
          <w:iCs w:val="1"/>
          <w:color w:val="auto"/>
        </w:rPr>
        <w:t xml:space="preserve"> Saucony</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apparel.</w:t>
      </w:r>
      <w:r>
        <w:rPr>
          <w:rFonts w:ascii="Times New Roman" w:cs="Times New Roman" w:eastAsia="Times New Roman" w:hAnsi="Times New Roman"/>
          <w:sz w:val="18"/>
          <w:szCs w:val="18"/>
          <w:i w:val="1"/>
          <w:iCs w:val="1"/>
          <w:color w:val="auto"/>
        </w:rPr>
        <w:t xml:space="preserve"> Cat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a registered trademark of Caterpillar Inc. and</w:t>
      </w:r>
      <w:r>
        <w:rPr>
          <w:rFonts w:ascii="Times New Roman" w:cs="Times New Roman" w:eastAsia="Times New Roman" w:hAnsi="Times New Roman"/>
          <w:sz w:val="18"/>
          <w:szCs w:val="18"/>
          <w:i w:val="1"/>
          <w:iCs w:val="1"/>
          <w:color w:val="auto"/>
        </w:rPr>
        <w:t xml:space="preserve"> Harley-Davidson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a registered trademark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H-D U.S.A., LLC.</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products generally feature contemporary styling with proprietary technologies designed to provide maximum comfort and performance. The Company believes that its primary competitive advantages are its well-recognized brand names, patented proprietary designs, diverse product offerings and comfort technologies, wide range of distribution channels and diversified manufacturing and sourcing base. The Company combines quality materials and skilled workmanship to produce footwear according to its specifications at third-party manufacturing facilities. The Company’s products are sold at various price points targeting a wide range of consumers of casual, work, outdoor and athletic footwear and apparel.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portfolio of brands is organized into the following reportable segments.</w:t>
      </w:r>
    </w:p>
    <w:p>
      <w:pPr>
        <w:spacing w:after="0" w:line="59" w:lineRule="exact"/>
        <w:rPr>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b w:val="1"/>
          <w:bCs w:val="1"/>
          <w:color w:val="auto"/>
        </w:rPr>
        <w:t xml:space="preserve">Active Group, </w:t>
      </w:r>
      <w:r>
        <w:rPr>
          <w:rFonts w:ascii="Times New Roman" w:cs="Times New Roman" w:eastAsia="Times New Roman" w:hAnsi="Times New Roman"/>
          <w:sz w:val="17"/>
          <w:szCs w:val="17"/>
          <w:color w:val="auto"/>
        </w:rPr>
        <w:t>consisting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Merrell</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footwear and apparel,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Saucony</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footwear and apparel,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Sweaty Betty</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activewear,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Chaco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footwear; and</w:t>
      </w:r>
    </w:p>
    <w:p>
      <w:pPr>
        <w:spacing w:after="0" w:line="54" w:lineRule="exact"/>
        <w:rPr>
          <w:rFonts w:ascii="Times New Roman" w:cs="Times New Roman" w:eastAsia="Times New Roman" w:hAnsi="Times New Roman"/>
          <w:sz w:val="16"/>
          <w:szCs w:val="16"/>
          <w:b w:val="1"/>
          <w:bCs w:val="1"/>
          <w:color w:val="auto"/>
        </w:rPr>
      </w:pPr>
    </w:p>
    <w:p>
      <w:pPr>
        <w:ind w:left="660" w:right="20" w:hanging="328"/>
        <w:spacing w:after="0" w:line="226" w:lineRule="auto"/>
        <w:tabs>
          <w:tab w:leader="none" w:pos="652"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 xml:space="preserve">Work Group, </w:t>
      </w:r>
      <w:r>
        <w:rPr>
          <w:rFonts w:ascii="Times New Roman" w:cs="Times New Roman" w:eastAsia="Times New Roman" w:hAnsi="Times New Roman"/>
          <w:sz w:val="18"/>
          <w:szCs w:val="18"/>
          <w:color w:val="auto"/>
        </w:rPr>
        <w:t>consisting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Wolverine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footwear and apparel,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Cat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footwear,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Bates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uniform footwear,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Harley-Davidson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footwear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HYTEST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safety footwear;</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Kids' footwear offerings from </w:t>
      </w:r>
      <w:r>
        <w:rPr>
          <w:rFonts w:ascii="Times New Roman" w:cs="Times New Roman" w:eastAsia="Times New Roman" w:hAnsi="Times New Roman"/>
          <w:sz w:val="18"/>
          <w:szCs w:val="18"/>
          <w:i w:val="1"/>
          <w:iCs w:val="1"/>
          <w:color w:val="auto"/>
        </w:rPr>
        <w:t>Saucony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Sperry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Keds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Merrell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Hush Puppies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Cat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are included with the applicable brand.</w:t>
      </w:r>
    </w:p>
    <w:p>
      <w:pPr>
        <w:spacing w:after="0" w:line="114"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 xml:space="preserve">The Company also reports “Other” and “Corporate” categories. The Other category consists of </w:t>
      </w:r>
      <w:r>
        <w:rPr>
          <w:rFonts w:ascii="Times New Roman" w:cs="Times New Roman" w:eastAsia="Times New Roman" w:hAnsi="Times New Roman"/>
          <w:sz w:val="18"/>
          <w:szCs w:val="18"/>
          <w:i w:val="1"/>
          <w:iCs w:val="1"/>
          <w:color w:val="auto"/>
        </w:rPr>
        <w:t>Sperry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footwear, </w:t>
      </w:r>
      <w:r>
        <w:rPr>
          <w:rFonts w:ascii="Times New Roman" w:cs="Times New Roman" w:eastAsia="Times New Roman" w:hAnsi="Times New Roman"/>
          <w:sz w:val="18"/>
          <w:szCs w:val="18"/>
          <w:i w:val="1"/>
          <w:iCs w:val="1"/>
          <w:color w:val="auto"/>
        </w:rPr>
        <w:t>Keds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footwear, </w:t>
      </w:r>
      <w:r>
        <w:rPr>
          <w:rFonts w:ascii="Times New Roman" w:cs="Times New Roman" w:eastAsia="Times New Roman" w:hAnsi="Times New Roman"/>
          <w:sz w:val="18"/>
          <w:szCs w:val="18"/>
          <w:i w:val="1"/>
          <w:iCs w:val="1"/>
          <w:color w:val="auto"/>
        </w:rPr>
        <w:t>Hush Puppies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footwear and apparel, the Company’s leather marketing operations, sourcing operations that include third-party commission revenues, multi-branded direct-to-consumer retail stores and the </w:t>
      </w:r>
      <w:r>
        <w:rPr>
          <w:rFonts w:ascii="Times New Roman" w:cs="Times New Roman" w:eastAsia="Times New Roman" w:hAnsi="Times New Roman"/>
          <w:sz w:val="18"/>
          <w:szCs w:val="18"/>
          <w:i w:val="1"/>
          <w:iCs w:val="1"/>
          <w:color w:val="auto"/>
        </w:rPr>
        <w:t>Stride Rite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licensed business. The Corporate category consists of gains on the sale of businesses and trademarks, unallocated corporate expenses, such as corporate employee costs, corporate facility costs, reorganization activities, impairment of long-lived assets and environmental and other related costs.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reportable segments are engaged in designing, manufacturing, sourcing, marketing, licensing and distributing branded footwear, apparel and accessories. Revenue for the reportable segments includes revenue from the sale of branded footwear, apparel and accessories to third-party customers; revenue from third-party distributors, licensees and joint ventures; and revenue from the Company’s direct-to-consumer businesses. The Company’s reportable segments are determined based on how the Company internally reports and evaluates financial information used to make operating decisions.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reportable segments and related brands are described in more detail below.</w:t>
      </w:r>
    </w:p>
    <w:p>
      <w:pPr>
        <w:spacing w:after="0" w:line="86"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Active Group</w:t>
      </w:r>
    </w:p>
    <w:p>
      <w:pPr>
        <w:spacing w:after="0" w:line="100" w:lineRule="exact"/>
        <w:rPr>
          <w:rFonts w:ascii="Times New Roman" w:cs="Times New Roman" w:eastAsia="Times New Roman" w:hAnsi="Times New Roman"/>
          <w:sz w:val="18"/>
          <w:szCs w:val="18"/>
          <w:color w:val="auto"/>
        </w:rPr>
      </w:pPr>
    </w:p>
    <w:p>
      <w:pPr>
        <w:jc w:val="both"/>
        <w:ind w:left="660" w:right="20"/>
        <w:spacing w:after="0" w:line="21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Merrell</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Merrell</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believes in sharing the simple power of being outside. After over 40 years, with a persistent focus on innovation, design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testing, </w:t>
      </w:r>
      <w:r>
        <w:rPr>
          <w:rFonts w:ascii="Times New Roman" w:cs="Times New Roman" w:eastAsia="Times New Roman" w:hAnsi="Times New Roman"/>
          <w:sz w:val="18"/>
          <w:szCs w:val="18"/>
          <w:i w:val="1"/>
          <w:iCs w:val="1"/>
          <w:color w:val="auto"/>
        </w:rPr>
        <w:t>Merrell</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has become a global leader in hiking footwear, with a rapidly growing following in trail running and lifestyle. All of this is fueled by a desire to build a world where everyone can safely enjoy the benefits of being outdoors. </w:t>
      </w:r>
      <w:r>
        <w:rPr>
          <w:rFonts w:ascii="Times New Roman" w:cs="Times New Roman" w:eastAsia="Times New Roman" w:hAnsi="Times New Roman"/>
          <w:sz w:val="18"/>
          <w:szCs w:val="18"/>
          <w:i w:val="1"/>
          <w:iCs w:val="1"/>
          <w:color w:val="auto"/>
        </w:rPr>
        <w:t>Merrell</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can be found across the globe, on Merrell.com, in key outdoor and sporting goods retail stores and in Company owned </w:t>
      </w:r>
      <w:r>
        <w:rPr>
          <w:rFonts w:ascii="Times New Roman" w:cs="Times New Roman" w:eastAsia="Times New Roman" w:hAnsi="Times New Roman"/>
          <w:sz w:val="18"/>
          <w:szCs w:val="18"/>
          <w:i w:val="1"/>
          <w:iCs w:val="1"/>
          <w:color w:val="auto"/>
        </w:rPr>
        <w:t>Merrell</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stores.</w:t>
      </w:r>
    </w:p>
    <w:p>
      <w:pPr>
        <w:spacing w:after="0" w:line="69" w:lineRule="exact"/>
        <w:rPr>
          <w:rFonts w:ascii="Times New Roman" w:cs="Times New Roman" w:eastAsia="Times New Roman" w:hAnsi="Times New Roman"/>
          <w:sz w:val="18"/>
          <w:szCs w:val="18"/>
          <w:color w:val="auto"/>
        </w:rPr>
      </w:pPr>
    </w:p>
    <w:p>
      <w:pPr>
        <w:jc w:val="both"/>
        <w:ind w:left="660"/>
        <w:spacing w:after="0" w:line="23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Saucony</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Saucony</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a leading purpose-driven performance running lifestyle brand with roots dating back to 1898.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Saucony</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targets both elite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casual runners through award-winning design, innovation and performance technology. The brand is focused on meeting the functional biomechanical needs of runners while delivering on their emotional</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jc w:val="both"/>
        <w:ind w:left="328"/>
        <w:spacing w:after="0" w:line="224" w:lineRule="auto"/>
        <w:rPr>
          <w:sz w:val="20"/>
          <w:szCs w:val="20"/>
          <w:color w:val="auto"/>
        </w:rPr>
      </w:pPr>
      <w:r>
        <w:rPr>
          <w:rFonts w:ascii="Times New Roman" w:cs="Times New Roman" w:eastAsia="Times New Roman" w:hAnsi="Times New Roman"/>
          <w:sz w:val="18"/>
          <w:szCs w:val="18"/>
          <w:color w:val="auto"/>
        </w:rPr>
        <w:t xml:space="preserve">style needs as well. Widely recognized for award-winning technologies, </w:t>
      </w:r>
      <w:r>
        <w:rPr>
          <w:rFonts w:ascii="Times New Roman" w:cs="Times New Roman" w:eastAsia="Times New Roman" w:hAnsi="Times New Roman"/>
          <w:sz w:val="18"/>
          <w:szCs w:val="18"/>
          <w:i w:val="1"/>
          <w:iCs w:val="1"/>
          <w:color w:val="auto"/>
        </w:rPr>
        <w:t>Saucony</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innovations include INCREDIRun foam, a revolutionary TPEE compound engineered to provide exceptional efficiency; PWRRUN™ PB, a beaded superfoam that delivers high-performance energy return; PWRRUN+™ a cushioning foam for a plush ride; and SPEEDROLL™ Technology, a blend of premium foam and forward geometry to promote a faster transition. </w:t>
      </w:r>
      <w:r>
        <w:rPr>
          <w:rFonts w:ascii="Times New Roman" w:cs="Times New Roman" w:eastAsia="Times New Roman" w:hAnsi="Times New Roman"/>
          <w:sz w:val="18"/>
          <w:szCs w:val="18"/>
          <w:i w:val="1"/>
          <w:iCs w:val="1"/>
          <w:color w:val="auto"/>
        </w:rPr>
        <w:t>Saucony</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offers five categories of performance footwear products; Competition, Road, Trail, Train and Walking; as well as the Originals lifestyle footwear inspired by </w:t>
      </w:r>
      <w:r>
        <w:rPr>
          <w:rFonts w:ascii="Times New Roman" w:cs="Times New Roman" w:eastAsia="Times New Roman" w:hAnsi="Times New Roman"/>
          <w:sz w:val="18"/>
          <w:szCs w:val="18"/>
          <w:i w:val="1"/>
          <w:iCs w:val="1"/>
          <w:color w:val="auto"/>
        </w:rPr>
        <w:t>Saucony</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products of the 1970's to 2000's. </w:t>
      </w:r>
      <w:r>
        <w:rPr>
          <w:rFonts w:ascii="Times New Roman" w:cs="Times New Roman" w:eastAsia="Times New Roman" w:hAnsi="Times New Roman"/>
          <w:sz w:val="18"/>
          <w:szCs w:val="18"/>
          <w:i w:val="1"/>
          <w:iCs w:val="1"/>
          <w:color w:val="auto"/>
        </w:rPr>
        <w:t>Saucony</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also offers a complete line of performance running apparel and select lifestyle apparel pieces. Through </w:t>
      </w:r>
      <w:r>
        <w:rPr>
          <w:rFonts w:ascii="Times New Roman" w:cs="Times New Roman" w:eastAsia="Times New Roman" w:hAnsi="Times New Roman"/>
          <w:sz w:val="18"/>
          <w:szCs w:val="18"/>
          <w:i w:val="1"/>
          <w:iCs w:val="1"/>
          <w:color w:val="auto"/>
        </w:rPr>
        <w:t>Saucony</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Run For Good brand platform and charitable foundation, </w:t>
      </w:r>
      <w:r>
        <w:rPr>
          <w:rFonts w:ascii="Times New Roman" w:cs="Times New Roman" w:eastAsia="Times New Roman" w:hAnsi="Times New Roman"/>
          <w:sz w:val="18"/>
          <w:szCs w:val="18"/>
          <w:i w:val="1"/>
          <w:iCs w:val="1"/>
          <w:color w:val="auto"/>
        </w:rPr>
        <w:t>Saucony</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is strengthening connections with consumers and elevating the positioning of the brand. The brand’s products are distributed primarily through leading run specialty, mall specialty and sporting goods retailers, as well as via an eCommerce site and in Company-owned </w:t>
      </w:r>
      <w:r>
        <w:rPr>
          <w:rFonts w:ascii="Times New Roman" w:cs="Times New Roman" w:eastAsia="Times New Roman" w:hAnsi="Times New Roman"/>
          <w:sz w:val="18"/>
          <w:szCs w:val="18"/>
          <w:i w:val="1"/>
          <w:iCs w:val="1"/>
          <w:color w:val="auto"/>
        </w:rPr>
        <w:t>Saucony</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retail stores.</w:t>
      </w:r>
    </w:p>
    <w:p>
      <w:pPr>
        <w:spacing w:after="0" w:line="74" w:lineRule="exact"/>
        <w:rPr>
          <w:sz w:val="20"/>
          <w:szCs w:val="20"/>
          <w:color w:val="auto"/>
        </w:rPr>
      </w:pPr>
    </w:p>
    <w:p>
      <w:pPr>
        <w:jc w:val="both"/>
        <w:ind w:left="328"/>
        <w:spacing w:after="0" w:line="235" w:lineRule="auto"/>
        <w:rPr>
          <w:sz w:val="20"/>
          <w:szCs w:val="20"/>
          <w:color w:val="auto"/>
        </w:rPr>
      </w:pPr>
      <w:r>
        <w:rPr>
          <w:rFonts w:ascii="Times New Roman" w:cs="Times New Roman" w:eastAsia="Times New Roman" w:hAnsi="Times New Roman"/>
          <w:sz w:val="18"/>
          <w:szCs w:val="18"/>
          <w:b w:val="1"/>
          <w:bCs w:val="1"/>
          <w:i w:val="1"/>
          <w:iCs w:val="1"/>
          <w:color w:val="auto"/>
        </w:rPr>
        <w:t>Sweaty Betty</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Sweaty Betty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a global women’s activewear and lifestyle brand that has been on a mission to empower women through fitness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and beyond since 1998. Famous and trusted for its “bum-sculpting” leggings and innovative designs, </w:t>
      </w:r>
      <w:r>
        <w:rPr>
          <w:rFonts w:ascii="Times New Roman" w:cs="Times New Roman" w:eastAsia="Times New Roman" w:hAnsi="Times New Roman"/>
          <w:sz w:val="18"/>
          <w:szCs w:val="18"/>
          <w:i w:val="1"/>
          <w:iCs w:val="1"/>
          <w:color w:val="auto"/>
        </w:rPr>
        <w:t>Sweaty Betty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fuses performance and style with technical, high-performance fabrics and responsibly sourced materials designed to outlast, outperform and outfit active women at all life stages. The brand services its loyal, fast-growing community worldwide through SweatyBetty.com, complemented by retail locations across the United Kingdom, United States, Europe, New Zealand and Asia and in the world’s best luxury retailers, including Selfridges, Harrods and Nordstrom. Through the Sweaty Betty Foundation, the brand aims to give more girls access to activities they love, helping the next generation get and stay active for life.</w:t>
      </w:r>
    </w:p>
    <w:p>
      <w:pPr>
        <w:spacing w:after="0" w:line="145" w:lineRule="exact"/>
        <w:rPr>
          <w:sz w:val="20"/>
          <w:szCs w:val="20"/>
          <w:color w:val="auto"/>
        </w:rPr>
      </w:pPr>
    </w:p>
    <w:p>
      <w:pPr>
        <w:jc w:val="both"/>
        <w:ind w:left="328"/>
        <w:spacing w:after="0" w:line="223" w:lineRule="auto"/>
        <w:rPr>
          <w:sz w:val="20"/>
          <w:szCs w:val="20"/>
          <w:color w:val="auto"/>
        </w:rPr>
      </w:pPr>
      <w:r>
        <w:rPr>
          <w:rFonts w:ascii="Times New Roman" w:cs="Times New Roman" w:eastAsia="Times New Roman" w:hAnsi="Times New Roman"/>
          <w:sz w:val="18"/>
          <w:szCs w:val="18"/>
          <w:b w:val="1"/>
          <w:bCs w:val="1"/>
          <w:i w:val="1"/>
          <w:iCs w:val="1"/>
          <w:color w:val="auto"/>
        </w:rPr>
        <w:t>Chaco</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more than 35 years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Chaco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been inspiring new generations to take on everyday adventures. Originating as an innovator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whitewater rafting world, </w:t>
      </w:r>
      <w:r>
        <w:rPr>
          <w:rFonts w:ascii="Times New Roman" w:cs="Times New Roman" w:eastAsia="Times New Roman" w:hAnsi="Times New Roman"/>
          <w:sz w:val="18"/>
          <w:szCs w:val="18"/>
          <w:i w:val="1"/>
          <w:iCs w:val="1"/>
          <w:color w:val="auto"/>
        </w:rPr>
        <w:t>Chaco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continues to design footwear for all walks of life and for a lifetime of adventure, in and out of water. </w:t>
      </w:r>
      <w:r>
        <w:rPr>
          <w:rFonts w:ascii="Times New Roman" w:cs="Times New Roman" w:eastAsia="Times New Roman" w:hAnsi="Times New Roman"/>
          <w:sz w:val="18"/>
          <w:szCs w:val="18"/>
          <w:i w:val="1"/>
          <w:iCs w:val="1"/>
          <w:color w:val="auto"/>
        </w:rPr>
        <w:t>Chaco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products are distributed primarily though the </w:t>
      </w:r>
      <w:r>
        <w:rPr>
          <w:rFonts w:ascii="Times New Roman" w:cs="Times New Roman" w:eastAsia="Times New Roman" w:hAnsi="Times New Roman"/>
          <w:sz w:val="18"/>
          <w:szCs w:val="18"/>
          <w:i w:val="1"/>
          <w:iCs w:val="1"/>
          <w:color w:val="auto"/>
        </w:rPr>
        <w:t>Chaco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eCommerce site and other leading online and brick and mortar retailers.</w:t>
      </w:r>
    </w:p>
    <w:p>
      <w:pPr>
        <w:spacing w:after="0" w:line="74" w:lineRule="exact"/>
        <w:rPr>
          <w:sz w:val="20"/>
          <w:szCs w:val="20"/>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Work Group</w:t>
      </w:r>
    </w:p>
    <w:p>
      <w:pPr>
        <w:spacing w:after="0" w:line="102" w:lineRule="exact"/>
        <w:rPr>
          <w:rFonts w:ascii="Times New Roman" w:cs="Times New Roman" w:eastAsia="Times New Roman" w:hAnsi="Times New Roman"/>
          <w:sz w:val="18"/>
          <w:szCs w:val="18"/>
          <w:color w:val="auto"/>
        </w:rPr>
      </w:pPr>
    </w:p>
    <w:p>
      <w:pPr>
        <w:jc w:val="both"/>
        <w:ind w:left="328"/>
        <w:spacing w:after="0" w:line="21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Wolverine</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more than 140 years,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Wolverine</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existed to support people who forge their own path: those who stop at nothing to build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future they want. </w:t>
      </w:r>
      <w:r>
        <w:rPr>
          <w:rFonts w:ascii="Times New Roman" w:cs="Times New Roman" w:eastAsia="Times New Roman" w:hAnsi="Times New Roman"/>
          <w:sz w:val="18"/>
          <w:szCs w:val="18"/>
          <w:i w:val="1"/>
          <w:iCs w:val="1"/>
          <w:color w:val="auto"/>
        </w:rPr>
        <w:t>Wolverine</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designs and creates footwear, apparel and accessories made to outfit those working in the core trades across the world. The brand is known for its heritage, durability, and best-in-class performance comfort technology, as well as the </w:t>
      </w:r>
      <w:r>
        <w:rPr>
          <w:rFonts w:ascii="Times New Roman" w:cs="Times New Roman" w:eastAsia="Times New Roman" w:hAnsi="Times New Roman"/>
          <w:sz w:val="18"/>
          <w:szCs w:val="18"/>
          <w:i w:val="1"/>
          <w:iCs w:val="1"/>
          <w:color w:val="auto"/>
        </w:rPr>
        <w:t>Wolverine</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1000 Mile collection of premium lifestyle boots handcrafted in the USA from archival patterns. </w:t>
      </w:r>
      <w:r>
        <w:rPr>
          <w:rFonts w:ascii="Times New Roman" w:cs="Times New Roman" w:eastAsia="Times New Roman" w:hAnsi="Times New Roman"/>
          <w:sz w:val="18"/>
          <w:szCs w:val="18"/>
          <w:i w:val="1"/>
          <w:iCs w:val="1"/>
          <w:color w:val="auto"/>
        </w:rPr>
        <w:t>Wolverine</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products can be found online at Wolverine.com and across a variety of retail channels including online retail, farm &amp; fleet, work specialty, outdoor specialty, department stores and national family stores.</w:t>
      </w:r>
    </w:p>
    <w:p>
      <w:pPr>
        <w:spacing w:after="0" w:line="139" w:lineRule="exact"/>
        <w:rPr>
          <w:rFonts w:ascii="Times New Roman" w:cs="Times New Roman" w:eastAsia="Times New Roman" w:hAnsi="Times New Roman"/>
          <w:sz w:val="18"/>
          <w:szCs w:val="18"/>
          <w:color w:val="auto"/>
        </w:rPr>
      </w:pPr>
    </w:p>
    <w:p>
      <w:pPr>
        <w:jc w:val="both"/>
        <w:ind w:left="328"/>
        <w:spacing w:after="0" w:line="21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Cat</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i w:val="1"/>
          <w:iCs w:val="1"/>
          <w:color w:val="auto"/>
        </w:rPr>
        <w:t xml:space="preserve"> Footwear: </w:t>
      </w:r>
      <w:r>
        <w:rPr>
          <w:rFonts w:ascii="Times New Roman" w:cs="Times New Roman" w:eastAsia="Times New Roman" w:hAnsi="Times New Roman"/>
          <w:sz w:val="18"/>
          <w:szCs w:val="18"/>
          <w:i w:val="1"/>
          <w:iCs w:val="1"/>
          <w:color w:val="auto"/>
        </w:rPr>
        <w:t>Cat</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Footwear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driven by the belief that generations of builders, makers and creators can turn challenge into enduring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greatness. The Company is the exclusive global footwear licensee of Caterpillar Inc., and for over three decades, </w:t>
      </w:r>
      <w:r>
        <w:rPr>
          <w:rFonts w:ascii="Times New Roman" w:cs="Times New Roman" w:eastAsia="Times New Roman" w:hAnsi="Times New Roman"/>
          <w:sz w:val="18"/>
          <w:szCs w:val="18"/>
          <w:i w:val="1"/>
          <w:iCs w:val="1"/>
          <w:color w:val="auto"/>
        </w:rPr>
        <w:t>Cat</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Footwear</w:t>
      </w:r>
      <w:r>
        <w:rPr>
          <w:rFonts w:ascii="Times New Roman" w:cs="Times New Roman" w:eastAsia="Times New Roman" w:hAnsi="Times New Roman"/>
          <w:sz w:val="18"/>
          <w:szCs w:val="18"/>
          <w:color w:val="auto"/>
        </w:rPr>
        <w:t xml:space="preserve"> has been living up to the hardworking spirit of both the Caterpillar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trademark and the millions of consumers who trust the brand. </w:t>
      </w:r>
      <w:r>
        <w:rPr>
          <w:rFonts w:ascii="Times New Roman" w:cs="Times New Roman" w:eastAsia="Times New Roman" w:hAnsi="Times New Roman"/>
          <w:sz w:val="18"/>
          <w:szCs w:val="18"/>
          <w:i w:val="1"/>
          <w:iCs w:val="1"/>
          <w:color w:val="auto"/>
        </w:rPr>
        <w:t>Cat</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Footwear</w:t>
      </w:r>
      <w:r>
        <w:rPr>
          <w:rFonts w:ascii="Times New Roman" w:cs="Times New Roman" w:eastAsia="Times New Roman" w:hAnsi="Times New Roman"/>
          <w:sz w:val="18"/>
          <w:szCs w:val="18"/>
          <w:color w:val="auto"/>
        </w:rPr>
        <w:t xml:space="preserve"> originally created a small collection of rugged work boots designed to provide workers with the comfort and durability that met the challenges of the worksite. Today, </w:t>
      </w:r>
      <w:r>
        <w:rPr>
          <w:rFonts w:ascii="Times New Roman" w:cs="Times New Roman" w:eastAsia="Times New Roman" w:hAnsi="Times New Roman"/>
          <w:sz w:val="18"/>
          <w:szCs w:val="18"/>
          <w:i w:val="1"/>
          <w:iCs w:val="1"/>
          <w:color w:val="auto"/>
        </w:rPr>
        <w:t>Cat</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Footwear</w:t>
      </w:r>
      <w:r>
        <w:rPr>
          <w:rFonts w:ascii="Times New Roman" w:cs="Times New Roman" w:eastAsia="Times New Roman" w:hAnsi="Times New Roman"/>
          <w:sz w:val="18"/>
          <w:szCs w:val="18"/>
          <w:color w:val="auto"/>
        </w:rPr>
        <w:t xml:space="preserve"> offers a wide range of footwear, including work boots and casual shoes for men and women, sold through a global distribution network. CAT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CATERPILLAR, their respective logos, "Caterpillar Corporate Yellow", as well as corporate product identity used herein, are registered trademarks of Caterpillar Inc.</w:t>
      </w:r>
    </w:p>
    <w:p>
      <w:pPr>
        <w:spacing w:after="0" w:line="140" w:lineRule="exact"/>
        <w:rPr>
          <w:rFonts w:ascii="Times New Roman" w:cs="Times New Roman" w:eastAsia="Times New Roman" w:hAnsi="Times New Roman"/>
          <w:sz w:val="18"/>
          <w:szCs w:val="18"/>
          <w:color w:val="auto"/>
        </w:rPr>
      </w:pPr>
    </w:p>
    <w:p>
      <w:pPr>
        <w:jc w:val="both"/>
        <w:ind w:left="328"/>
        <w:spacing w:after="0" w:line="21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Bates</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Bates</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Footwear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a leading supplier of tactical and uniform footwear for first responders. Civilian uniform users include police officers,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firefighters, security and emergency medical services workers, and others in light industrial occupations. </w:t>
      </w:r>
      <w:r>
        <w:rPr>
          <w:rFonts w:ascii="Times New Roman" w:cs="Times New Roman" w:eastAsia="Times New Roman" w:hAnsi="Times New Roman"/>
          <w:sz w:val="18"/>
          <w:szCs w:val="18"/>
          <w:i w:val="1"/>
          <w:iCs w:val="1"/>
          <w:color w:val="auto"/>
        </w:rPr>
        <w:t>Bates</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products are distributed through sporting goods chains, department stores, uniform specialty retailers, catalog retailers and online retailers.</w:t>
      </w:r>
    </w:p>
    <w:p>
      <w:pPr>
        <w:spacing w:after="0" w:line="136" w:lineRule="exact"/>
        <w:rPr>
          <w:rFonts w:ascii="Times New Roman" w:cs="Times New Roman" w:eastAsia="Times New Roman" w:hAnsi="Times New Roman"/>
          <w:sz w:val="18"/>
          <w:szCs w:val="18"/>
          <w:color w:val="auto"/>
        </w:rPr>
      </w:pPr>
    </w:p>
    <w:p>
      <w:pPr>
        <w:jc w:val="both"/>
        <w:ind w:left="328"/>
        <w:spacing w:after="0" w:line="21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Harley-Davidson</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Footwear</w:t>
      </w:r>
      <w:r>
        <w:rPr>
          <w:rFonts w:ascii="Times New Roman" w:cs="Times New Roman" w:eastAsia="Times New Roman" w:hAnsi="Times New Roman"/>
          <w:sz w:val="18"/>
          <w:szCs w:val="18"/>
          <w:color w:val="auto"/>
        </w:rPr>
        <w:t>: Pursuant to a license arrangement with the Harley-Davidson Motor Company, Inc., the Company has footwear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marketing and distribution rights for </w:t>
      </w:r>
      <w:r>
        <w:rPr>
          <w:rFonts w:ascii="Times New Roman" w:cs="Times New Roman" w:eastAsia="Times New Roman" w:hAnsi="Times New Roman"/>
          <w:sz w:val="18"/>
          <w:szCs w:val="18"/>
          <w:i w:val="1"/>
          <w:iCs w:val="1"/>
          <w:color w:val="auto"/>
        </w:rPr>
        <w:t>Harley-Davidson</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branded footwear. </w:t>
      </w:r>
      <w:r>
        <w:rPr>
          <w:rFonts w:ascii="Times New Roman" w:cs="Times New Roman" w:eastAsia="Times New Roman" w:hAnsi="Times New Roman"/>
          <w:sz w:val="18"/>
          <w:szCs w:val="18"/>
          <w:i w:val="1"/>
          <w:iCs w:val="1"/>
          <w:color w:val="auto"/>
        </w:rPr>
        <w:t>Harley-Davidson</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branded footwear products include motorcycle, casual, fashion, work and western footwear for men, women and kids. </w:t>
      </w:r>
      <w:r>
        <w:rPr>
          <w:rFonts w:ascii="Times New Roman" w:cs="Times New Roman" w:eastAsia="Times New Roman" w:hAnsi="Times New Roman"/>
          <w:sz w:val="18"/>
          <w:szCs w:val="18"/>
          <w:i w:val="1"/>
          <w:iCs w:val="1"/>
          <w:color w:val="auto"/>
        </w:rPr>
        <w:t>Harley-Davidson</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footwear is sold globally through a network of independent </w:t>
      </w:r>
      <w:r>
        <w:rPr>
          <w:rFonts w:ascii="Times New Roman" w:cs="Times New Roman" w:eastAsia="Times New Roman" w:hAnsi="Times New Roman"/>
          <w:sz w:val="18"/>
          <w:szCs w:val="18"/>
          <w:i w:val="1"/>
          <w:iCs w:val="1"/>
          <w:color w:val="auto"/>
        </w:rPr>
        <w:t>Harley-Davidson</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dealerships and other retail outlets. </w:t>
      </w:r>
      <w:r>
        <w:rPr>
          <w:rFonts w:ascii="Times New Roman" w:cs="Times New Roman" w:eastAsia="Times New Roman" w:hAnsi="Times New Roman"/>
          <w:sz w:val="18"/>
          <w:szCs w:val="18"/>
          <w:i w:val="1"/>
          <w:iCs w:val="1"/>
          <w:color w:val="auto"/>
        </w:rPr>
        <w:t>Harley-Davidson</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is a registered trademark of H-D U.S.A., LLC.</w:t>
      </w:r>
    </w:p>
    <w:p>
      <w:pPr>
        <w:spacing w:after="0" w:line="69" w:lineRule="exact"/>
        <w:rPr>
          <w:rFonts w:ascii="Times New Roman" w:cs="Times New Roman" w:eastAsia="Times New Roman" w:hAnsi="Times New Roman"/>
          <w:sz w:val="18"/>
          <w:szCs w:val="18"/>
          <w:color w:val="auto"/>
        </w:rPr>
      </w:pPr>
    </w:p>
    <w:p>
      <w:pPr>
        <w:jc w:val="both"/>
        <w:ind w:left="328"/>
        <w:spacing w:after="0" w:line="21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HYTEST</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Safety Footwear</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HYTEST</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 line consists of high-quality work boots and shoes that incorporate various specialty safety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features designed to protect against hazards of the workplace, including metatarsal guards, steel toe, composite toe, nano toe, electrical hazard protection, static dissipating, puncture resistant and conductive footwear. </w:t>
      </w:r>
      <w:r>
        <w:rPr>
          <w:rFonts w:ascii="Times New Roman" w:cs="Times New Roman" w:eastAsia="Times New Roman" w:hAnsi="Times New Roman"/>
          <w:sz w:val="18"/>
          <w:szCs w:val="18"/>
          <w:i w:val="1"/>
          <w:iCs w:val="1"/>
          <w:color w:val="auto"/>
        </w:rPr>
        <w:t>HYTEST</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footwear is distributed primarily through a distributor network with </w:t>
      </w:r>
      <w:r>
        <w:rPr>
          <w:rFonts w:ascii="Times New Roman" w:cs="Times New Roman" w:eastAsia="Times New Roman" w:hAnsi="Times New Roman"/>
          <w:sz w:val="18"/>
          <w:szCs w:val="18"/>
          <w:i w:val="1"/>
          <w:iCs w:val="1"/>
          <w:color w:val="auto"/>
        </w:rPr>
        <w:t>Shoemobile</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mobile trucks and retail outlets providing direct sales of the Company’s occupational and work footwear brands to workers at industrial facilities and through direct sales arrangements with large industrial customers.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88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Other Businesses</w:t>
      </w:r>
    </w:p>
    <w:p>
      <w:pPr>
        <w:spacing w:after="0" w:line="10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 xml:space="preserve">In addition to its reportable segments, the Company operates sourcing operations, a multi-brand direct-to-consumer business, the licensing of its </w:t>
      </w:r>
      <w:r>
        <w:rPr>
          <w:rFonts w:ascii="Times New Roman" w:cs="Times New Roman" w:eastAsia="Times New Roman" w:hAnsi="Times New Roman"/>
          <w:sz w:val="18"/>
          <w:szCs w:val="18"/>
          <w:i w:val="1"/>
          <w:iCs w:val="1"/>
          <w:color w:val="auto"/>
        </w:rPr>
        <w:t>Stride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brand and</w:t>
      </w:r>
      <w:r>
        <w:rPr>
          <w:rFonts w:ascii="Times New Roman" w:cs="Times New Roman" w:eastAsia="Times New Roman" w:hAnsi="Times New Roman"/>
          <w:sz w:val="18"/>
          <w:szCs w:val="18"/>
          <w:i w:val="1"/>
          <w:iCs w:val="1"/>
          <w:color w:val="auto"/>
        </w:rPr>
        <w:t xml:space="preserve"> Hush Puppies</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brand. The Company's results included in Other also include brands and businesses that the Company sold in 2023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as noted below.</w:t>
      </w:r>
    </w:p>
    <w:p>
      <w:pPr>
        <w:spacing w:after="0" w:line="60" w:lineRule="exact"/>
        <w:rPr>
          <w:sz w:val="20"/>
          <w:szCs w:val="20"/>
          <w:color w:val="auto"/>
        </w:rPr>
      </w:pPr>
    </w:p>
    <w:p>
      <w:pPr>
        <w:jc w:val="both"/>
        <w:ind w:left="660"/>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Hush Puppies</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Launched in 1958,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Hush Puppies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a history of bringing color and optimism to a boring, brown shoe category. Today,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Hush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Puppies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exists to inspire consumers to live life on the bright side. The Company believes that optimism is contagious and that by encouraging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positivity it can help shape a better world. As a result of the decision to license the brand in North America in 2023, Hush Puppies® became a fully global licensed brand with over 560 Hush Puppies stores and multiple eCommerce sites across the globe. Hush Puppies®, with its basset hound icon, is one of the most well-known and loved brands worldwide. The Company sold the rights to the </w:t>
      </w:r>
      <w:r>
        <w:rPr>
          <w:rFonts w:ascii="Times New Roman" w:cs="Times New Roman" w:eastAsia="Times New Roman" w:hAnsi="Times New Roman"/>
          <w:sz w:val="18"/>
          <w:szCs w:val="18"/>
          <w:i w:val="1"/>
          <w:iCs w:val="1"/>
          <w:color w:val="auto"/>
        </w:rPr>
        <w:t>Hush Puppies</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trademarks, patents, copyrights and domains in China, Hong Kong and Macau to its current sublicensee, Beijing Jiaman Dress Co., Ltd. The transaction closed on September 14, 2023.</w:t>
      </w:r>
    </w:p>
    <w:p>
      <w:pPr>
        <w:spacing w:after="0" w:line="140" w:lineRule="exact"/>
        <w:rPr>
          <w:sz w:val="20"/>
          <w:szCs w:val="20"/>
          <w:color w:val="auto"/>
        </w:rPr>
      </w:pPr>
    </w:p>
    <w:p>
      <w:pPr>
        <w:jc w:val="both"/>
        <w:ind w:left="660" w:right="2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Stride Rite</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Licensed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a history dating back to 1919,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Stride Rite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an industry leader in kids' footwear. The Company signed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multi-year license agreement in 2017 to license the </w:t>
      </w:r>
      <w:r>
        <w:rPr>
          <w:rFonts w:ascii="Times New Roman" w:cs="Times New Roman" w:eastAsia="Times New Roman" w:hAnsi="Times New Roman"/>
          <w:sz w:val="18"/>
          <w:szCs w:val="18"/>
          <w:i w:val="1"/>
          <w:iCs w:val="1"/>
          <w:color w:val="auto"/>
        </w:rPr>
        <w:t>Stride Rite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w:t>
      </w:r>
    </w:p>
    <w:p>
      <w:pPr>
        <w:spacing w:after="0" w:line="52"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Sourcing Division: </w:t>
      </w:r>
      <w:r>
        <w:rPr>
          <w:rFonts w:ascii="Times New Roman" w:cs="Times New Roman" w:eastAsia="Times New Roman" w:hAnsi="Times New Roman"/>
          <w:sz w:val="18"/>
          <w:szCs w:val="18"/>
          <w:color w:val="auto"/>
        </w:rPr>
        <w:t>The sourcing division earns third-party commission revenue by providing consulting services related to product development,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production control, quality assurance, materials procurement, compliance and other services.</w:t>
      </w:r>
    </w:p>
    <w:p>
      <w:pPr>
        <w:spacing w:after="0" w:line="101"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Multi-brand Direct-to-Consumer Division: </w:t>
      </w:r>
      <w:r>
        <w:rPr>
          <w:rFonts w:ascii="Times New Roman" w:cs="Times New Roman" w:eastAsia="Times New Roman" w:hAnsi="Times New Roman"/>
          <w:sz w:val="18"/>
          <w:szCs w:val="18"/>
          <w:color w:val="auto"/>
        </w:rPr>
        <w:t>The multi-brand direct-to-consumer division includes retail stores that sell footwear and apparel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the Company's brand portfolio and other brands.</w:t>
      </w:r>
    </w:p>
    <w:p>
      <w:pPr>
        <w:spacing w:after="0" w:line="101" w:lineRule="exact"/>
        <w:rPr>
          <w:sz w:val="20"/>
          <w:szCs w:val="20"/>
          <w:color w:val="auto"/>
        </w:rPr>
      </w:pPr>
    </w:p>
    <w:p>
      <w:pPr>
        <w:jc w:val="both"/>
        <w:ind w:left="660" w:right="20"/>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Sperry</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Sperry</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was founded in 1935 by avid sailor, inventor and intrepid explorer Paul Sperry. The brand is fully rooted in the history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American style and continues to craft the tools for life’s memorable experiences on, off and by the water. Effective January 10, 2024 the Company sold the global </w:t>
      </w:r>
      <w:r>
        <w:rPr>
          <w:rFonts w:ascii="Times New Roman" w:cs="Times New Roman" w:eastAsia="Times New Roman" w:hAnsi="Times New Roman"/>
          <w:sz w:val="18"/>
          <w:szCs w:val="18"/>
          <w:i w:val="1"/>
          <w:iCs w:val="1"/>
          <w:color w:val="auto"/>
        </w:rPr>
        <w:t>Sperry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business to Authentic Brands Group LLC.</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Keds</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color w:val="auto"/>
        </w:rPr>
        <w:t>: For over 100 years,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Keds</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been making timeless, comfortable, accessible footwear for consumers to step out into the world their way.</w:t>
      </w:r>
    </w:p>
    <w:p>
      <w:pPr>
        <w:ind w:left="660"/>
        <w:spacing w:after="0"/>
        <w:rPr>
          <w:sz w:val="20"/>
          <w:szCs w:val="20"/>
          <w:color w:val="auto"/>
        </w:rPr>
      </w:pPr>
      <w:r>
        <w:rPr>
          <w:rFonts w:ascii="Times New Roman" w:cs="Times New Roman" w:eastAsia="Times New Roman" w:hAnsi="Times New Roman"/>
          <w:sz w:val="18"/>
          <w:szCs w:val="18"/>
          <w:color w:val="auto"/>
        </w:rPr>
        <w:t xml:space="preserve">Effective February 4, 2023 the Company sold the global </w:t>
      </w:r>
      <w:r>
        <w:rPr>
          <w:rFonts w:ascii="Times New Roman" w:cs="Times New Roman" w:eastAsia="Times New Roman" w:hAnsi="Times New Roman"/>
          <w:sz w:val="18"/>
          <w:szCs w:val="18"/>
          <w:i w:val="1"/>
          <w:iCs w:val="1"/>
          <w:color w:val="auto"/>
        </w:rPr>
        <w:t>Keds</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business to Designer Brands, Inc.</w:t>
      </w:r>
    </w:p>
    <w:p>
      <w:pPr>
        <w:spacing w:after="0" w:line="90"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Wolverine Leathers Division: </w:t>
      </w:r>
      <w:r>
        <w:rPr>
          <w:rFonts w:ascii="Times New Roman" w:cs="Times New Roman" w:eastAsia="Times New Roman" w:hAnsi="Times New Roman"/>
          <w:sz w:val="18"/>
          <w:szCs w:val="18"/>
          <w:color w:val="auto"/>
        </w:rPr>
        <w:t>The Wolverine Leathers Division markets pigskin leather for use primarily in the footwear industry.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Wolverine Leathers Division was sold in two separate transactions in 2023.</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marketing strategy is to develop brand-specific plans and related promotional materials that drive consumer demand creation, fuel consumer obsession and foster a consistent message for each of the Company’s brands across the globe. Marketing campaigns and strategies vary by brand and are generally designed to target consumers in order to increase awareness of, and affinity for, the Company’s brands. The Company’s marketing typically emphasizes compelling brand stories and brand recognition associated with new and existing products, the performance, comfort and quality features and styles of our products within each of the Company’s brands, as well as raising global brand relevance and awareness. The Company’s brand marketing has an omni-channel, always-on approach and includes various means of delivery across digital, print and radio, including advertising through event sponsorship, social networking sites, event sponsorships, in-store activation and sales and technical assistance.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operates branded eCommerce sites that the Company believes are effective tools for marketing and selling to consumers. The Company maintains an active presence on a variety of global social media platforms, and the Company’s digital marketing seeks to create demand among new consumers as well as connecting consumers to brand content and products.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Company’s internal marketing efforts, each brand provides its third-party licensees and distributors with creative direction, brand images and other materials to convey globally consistent brand messaging. The Company believes its brand names represent a competitive advantage, and the Company, its licensees and its distributors make significant marketing investments to promote and enhance the market positions of its products and drive brand awareness.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Domestic Sales and Distribution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uses a variety of means to support sales to a variety of domestic distribution channels:</w:t>
      </w:r>
    </w:p>
    <w:p>
      <w:pPr>
        <w:spacing w:after="0" w:line="117" w:lineRule="exact"/>
        <w:rPr>
          <w:sz w:val="20"/>
          <w:szCs w:val="20"/>
          <w:color w:val="auto"/>
        </w:rPr>
      </w:pPr>
    </w:p>
    <w:p>
      <w:pPr>
        <w:ind w:left="460" w:hanging="331"/>
        <w:spacing w:after="0" w:line="282" w:lineRule="auto"/>
        <w:tabs>
          <w:tab w:leader="none" w:pos="4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uses a dedicated sales force and customer service team, third party sales representatives and point-of-purchase materials to support domestic sales.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 w:name="page8"/>
    <w:bookmarkEnd w:id="7"/>
    <w:p>
      <w:pPr>
        <w:ind w:left="460" w:hanging="331"/>
        <w:spacing w:after="0" w:line="282" w:lineRule="auto"/>
        <w:tabs>
          <w:tab w:leader="none" w:pos="452"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Company maintains core in-stock inventories to service department stores, national chains, specialty retailers, catalog retailers, independent retailers, uniform outlets and its own direct-to-consumer business.</w:t>
      </w:r>
    </w:p>
    <w:p>
      <w:pPr>
        <w:spacing w:after="0" w:line="53" w:lineRule="exact"/>
        <w:rPr>
          <w:rFonts w:ascii="Times New Roman" w:cs="Times New Roman" w:eastAsia="Times New Roman" w:hAnsi="Times New Roman"/>
          <w:sz w:val="17"/>
          <w:szCs w:val="17"/>
          <w:color w:val="auto"/>
        </w:rPr>
      </w:pPr>
    </w:p>
    <w:p>
      <w:pPr>
        <w:ind w:left="460" w:hanging="331"/>
        <w:spacing w:after="0" w:line="282" w:lineRule="auto"/>
        <w:tabs>
          <w:tab w:leader="none" w:pos="4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uses volume direct programs to ship products to retail customers and to provide products at competitive prices to service major retail, catalog, mass merchant and government customers.</w:t>
      </w:r>
    </w:p>
    <w:p>
      <w:pPr>
        <w:spacing w:after="0" w:line="53"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also operates brick and mortar retail stores and eCommerce sites.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Operations and Global Licensing</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foreign-sourced revenue is generated from a combination of (i) sales of branded footwear and apparel through the Company’s owned operations in Canada, the United Kingdom and certain countries in continental Europe and Asia-Pacific; (ii) revenue from third-party distributors for certain markets and businesses; (iii) revenue from a network of third-party licensees; and (iv) revenue and income from a joint venture that markets the Company’s branded products in Mexico. The Company’s international owned operations are located in markets where the Company believes it can gain a strategic advantage by directly controlling the sale of its products into retail accounts. License and distribution arrangements enable the Company to generate sales in other markets without the capital commitment required to maintain related foreign operations, employees, inventories or localized marketing programs. The Company divested its ownership interests in the China joint venture entities effective January 1, 2024.</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continues to develop its international network of third-party licensees and distributors to market its branded products. The Company assists its licensees in designing products that are appropriate to each foreign market, yet consistent with global brand positioning. Pursuant to license or distribution agreements, third-party licensees and distributors either purchase goods directly from the Company and authorized third-party manufacturers or manufacture branded products themselves, consistent with Company standards. Distributors and licensees are responsible for independently marketing and distributing the Company’s branded products in their respective territories, with product and marketing support from the Company.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Sourcing</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directly controls the majority of the units of footwear and apparel sourced under the Company’s brand names. The Company’s licensees directly control the balance. Substantially all of the units sourced by the Company are procured from numerous third-party manufacturers in the Asia Pacific region. The Company maintains offices in the Asia Pacific region to develop and facilitate sourcing strategies. The Company has established guidelines for each of its third-party manufacturers in order to monitor product quality, labor practices and financial viability. The Company has adopted “Engagement Criteria for Partners and Sources,” a policy that requires the Company’s domestic and foreign manufacturers, licensees and distributors to use ethical business standards, comply with all applicable health and safety laws and regulations, commit to use environmentally safe practices, treat employees fairly with respect to wages, benefits and working conditions and not use child or prison labor. The Company’s third-party sourcing strategy allows the Company to (i) benefit from lower manufacturing costs and state-of-the-art manufacturing facilities; (ii) source high quality raw materials from around the world; and (iii) avoid capital expenditures necessary for owned factories. The Company believes that its overall global manufacturing strategy provides the flexibility to properly balance the need for timely shipments, high quality products and competitive pricing.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 Licenses and Patents</w:t>
      </w:r>
    </w:p>
    <w:p>
      <w:pPr>
        <w:spacing w:after="0" w:line="94"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 xml:space="preserve">The Company holds a significant portfolio of registered and common law trademarks that identify its branded products and technologies. The Company’s owned trademarks include but are not limited to </w:t>
      </w:r>
      <w:r>
        <w:rPr>
          <w:rFonts w:ascii="Times New Roman" w:cs="Times New Roman" w:eastAsia="Times New Roman" w:hAnsi="Times New Roman"/>
          <w:sz w:val="18"/>
          <w:szCs w:val="18"/>
          <w:i w:val="1"/>
          <w:iCs w:val="1"/>
          <w:color w:val="auto"/>
        </w:rPr>
        <w:t>Hush Puppies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Wolverine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Bates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Bounce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Chaco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HYTEST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Merrell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Saucony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Stride Rite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Sweaty Betty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related logos and design marks. The Company has footwear marketing and distribution rights under the</w:t>
      </w:r>
      <w:r>
        <w:rPr>
          <w:rFonts w:ascii="Times New Roman" w:cs="Times New Roman" w:eastAsia="Times New Roman" w:hAnsi="Times New Roman"/>
          <w:sz w:val="18"/>
          <w:szCs w:val="18"/>
          <w:i w:val="1"/>
          <w:iCs w:val="1"/>
          <w:color w:val="auto"/>
        </w:rPr>
        <w:t xml:space="preserve"> Cat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Harley-Davidson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trademarks pursuant to license arrangements with the respective trademark owners. The </w:t>
      </w:r>
      <w:r>
        <w:rPr>
          <w:rFonts w:ascii="Times New Roman" w:cs="Times New Roman" w:eastAsia="Times New Roman" w:hAnsi="Times New Roman"/>
          <w:sz w:val="18"/>
          <w:szCs w:val="18"/>
          <w:i w:val="1"/>
          <w:iCs w:val="1"/>
          <w:color w:val="auto"/>
        </w:rPr>
        <w:t>Cat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license term runs through December 31, 2028 and the </w:t>
      </w:r>
      <w:r>
        <w:rPr>
          <w:rFonts w:ascii="Times New Roman" w:cs="Times New Roman" w:eastAsia="Times New Roman" w:hAnsi="Times New Roman"/>
          <w:sz w:val="18"/>
          <w:szCs w:val="18"/>
          <w:i w:val="1"/>
          <w:iCs w:val="1"/>
          <w:color w:val="auto"/>
        </w:rPr>
        <w:t>Harley-Davidson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license term runs through December 31, 2029. Both licenses are subject to early termination for breach.</w:t>
      </w:r>
    </w:p>
    <w:p>
      <w:pPr>
        <w:spacing w:after="0" w:line="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believes that consumers identify its products by the Company’s trademarks and that its trademarks are valuable assets. The Company has a policy of registering its primary trademarks and vigorously defending its trademarks against infringement or other threats whenever practicable. The Company also holds many design and utility patents, copyrights and various other proprietary rights. The Company protects its proprietary rights under applicable laws.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experiences moderate fluctuations in sales volume during the year, as reflected in quarterly revenue. The Company expects current seasonal sales patterns to continue in future years. The Company also experiences some fluctuation in its levels of working capital, typically reflecting an increase in net working capital requirements near the end of the first and third fiscal quarters as the Company builds inventory to support peak shipping periods. Historically, cash provided by operating</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 w:name="page9"/>
    <w:bookmarkEnd w:id="8"/>
    <w:p>
      <w:pPr>
        <w:jc w:val="both"/>
        <w:spacing w:after="0" w:line="261" w:lineRule="auto"/>
        <w:rPr>
          <w:sz w:val="20"/>
          <w:szCs w:val="20"/>
          <w:color w:val="auto"/>
        </w:rPr>
      </w:pPr>
      <w:r>
        <w:rPr>
          <w:rFonts w:ascii="Times New Roman" w:cs="Times New Roman" w:eastAsia="Times New Roman" w:hAnsi="Times New Roman"/>
          <w:sz w:val="18"/>
          <w:szCs w:val="18"/>
          <w:color w:val="auto"/>
        </w:rPr>
        <w:t>activities is higher in the second half of the fiscal year due to collection of wholesale channel receivables and higher direct-to-consumer sales during the holiday season. The Company meets its working capital requirements through internal operating cash flows and, as needed, borrowings under its revolving credit facility, as discussed in more detail under the caption "Liquidity and Capital Resources" in Item 7: "Management's Discussion and Analysis of Financial Condition and Results of Operations". The Company's working capital could also be impacted by other events.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markets its footwear and apparel lines in a highly competitive and fragmented environment. The Company competes with numerous domestic and international footwear and apparel designers and marketers, some of whom are larger and have greater resources than the Company. Product performance and quality, including technological improvements, product identity, competitive pricing, ability to control costs and ability to adapt to style changes are all important elements of competition in the footwear and apparel markets served by the Company. The footwear and apparel industries are subject to changes in consumer preferences. The Company strives to maintain its competitive position through promotions designed to increase brand awareness, manufacturing and sourcing efficiencies, and the style, comfort and value of its products. Future sales by the Company will be affected by its continued ability to sell its products at competitive prices and to meet shifts in consumer preferences.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Because of the lack of reliable published statistics, the Company is unable to state with certainty its competitive position in the overall footwear and apparel industries. The non-athletic footwear and apparel markets are highly fragmented and no one company has a dominant market position.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uses and generates certain substances and wastes that are regulated or may be deemed hazardous to the environment under certain federal, state and local regulations. The Company works with foreign and domestic federal, state and local agencies from time to time to resolve cleanup issues at various affected sites and other regulatory issues. Financial information regarding the Company’s environmental remediation activities is found in Note 17 to the Company's Consolidated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0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Employee Profile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of December 28, 2024, the Company had approximately 3,100 domestic and foreign retail, distribution, office and sales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values its employees and works to maximize the engagement and contribution of its current workforce and to attract the best talent available from outside the organization when needed.</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Talent Recruitment, Retention and Development</w:t>
      </w:r>
      <w:r>
        <w:rPr>
          <w:rFonts w:ascii="Times New Roman" w:cs="Times New Roman" w:eastAsia="Times New Roman" w:hAnsi="Times New Roman"/>
          <w:sz w:val="18"/>
          <w:szCs w:val="18"/>
          <w:color w:val="auto"/>
        </w:rPr>
        <w:t>: The Company's talent strategy is focused on attracting top talent and developing, engaging, investing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retaining top employees through a variety of retention and development efforts and world class corporate amenities. We strive to hire world class talent, while aiming to ensure opportunities for growth and development for team members. Our engaging recruitment marketing website tells a compelling story of opportunity and inclusion, and highlights the Company culture. With a focus on modern recruitment systems and strategies we aim to provide a seamless transition for new employees. Development starts on day one with an enriching day one experience designed to help employees start off on the right foot from the moment they begin their career with the Company. The Company strives to be one of the best places to work.</w:t>
      </w:r>
    </w:p>
    <w:p>
      <w:pPr>
        <w:spacing w:after="0" w:line="1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seeks to maximize engagement and contribution of team members and the Company stays connected with team members across many experience touchpoints throughout the employee lifecycle, including regular pulse and check in surveys. Insights from these surveys are valuable to understanding employees' needs, which helps us develop strategies to maintain positive employee sentiment and well-being. The Company's annual talent planning process provides invaluable data to help retain key talent through career planning and leadership continuity by using that data to identify and mitigate succession gaps through hiring and development.</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benchmarks its benefits regularly and keeps abreast of current and effective strategies in order to offer a comprehensive and competitive compensation and benefits package that is specific to the Company's employees’ respective geographic region of employment including annual incentive programs, long-term incentive programs and health and wellness benefits, such as the corporate headquarters' on-site, state-of-the-art fitness center, child care, and doggie day care facilities for employees.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believes that leaders should be developed at every stage of their career, from new managers to executives. Through partnership with Harvard Business School, our new manager leadership development program fosters collaboration and teaches managers leadership skills needed to build, retain, and inspire our teams. The Company's internal global leadership programs teach skills needed to lead through transformation and build key leadership capabilities needed for the Company to</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 w:name="page10"/>
    <w:bookmarkEnd w:id="9"/>
    <w:p>
      <w:pPr>
        <w:jc w:val="both"/>
        <w:spacing w:after="0" w:line="266" w:lineRule="auto"/>
        <w:rPr>
          <w:sz w:val="20"/>
          <w:szCs w:val="20"/>
          <w:color w:val="auto"/>
        </w:rPr>
      </w:pPr>
      <w:r>
        <w:rPr>
          <w:rFonts w:ascii="Times New Roman" w:cs="Times New Roman" w:eastAsia="Times New Roman" w:hAnsi="Times New Roman"/>
          <w:sz w:val="18"/>
          <w:szCs w:val="18"/>
          <w:color w:val="auto"/>
        </w:rPr>
        <w:t>grow. The Company also provides high potential assessments and executive coaching to its leadership to build capabilities needed to grow the Company’s business and talent. To enhance all corporate employees’ career development and growth, the Company offers a vast library of expert-led courses covering business, technical, and creative skills, quick reference guides, toolkits and internal one-on-one professional coaching.</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Inclusion and Belonging</w:t>
      </w:r>
      <w:r>
        <w:rPr>
          <w:rFonts w:ascii="Times New Roman" w:cs="Times New Roman" w:eastAsia="Times New Roman" w:hAnsi="Times New Roman"/>
          <w:sz w:val="18"/>
          <w:szCs w:val="18"/>
          <w:color w:val="auto"/>
        </w:rPr>
        <w:t>: Wolverine World Wide is committed to creating an inclusive culture where everyone feels valued and respected, and all have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equal opportunity to succeed. The Company recently launched UN1TED, the goal of which is to amplify the progress made to date in advancing the Company's inclusion and belonging initiatives. The Company has internal Employee Resource Groups open to all employees that connect, celebrate, and support communities across the organization. In addition, the Company offers employees a comprehensive inclusion learning program which includes learning about inclusive teams, inclusive leadership, and inclusive selection.</w:t>
      </w:r>
    </w:p>
    <w:p>
      <w:pPr>
        <w:spacing w:after="0" w:line="12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Health and Safety</w:t>
      </w:r>
      <w:r>
        <w:rPr>
          <w:rFonts w:ascii="Times New Roman" w:cs="Times New Roman" w:eastAsia="Times New Roman" w:hAnsi="Times New Roman"/>
          <w:sz w:val="18"/>
          <w:szCs w:val="18"/>
          <w:color w:val="auto"/>
        </w:rPr>
        <w:t>: The health and safety of the Company's employees is one of its highest priorities. The Company has developed safety protocols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enhance the health and safety of all employees. The Environmental, Health, &amp; Safety Council is composed of representatives from across the Company and coordinates health and safety matters on a real time basis.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Information about the Company, including the Company’s Code of Business Conduct, Corporate Governance Guidelines, Director Independence Standards, Accounting and Finance Code of Ethics, Audit Committee Charter, Compensation Committee Charter and Governance Committee Charter, is available at its website at </w:t>
      </w:r>
      <w:r>
        <w:rPr>
          <w:rFonts w:ascii="Times New Roman" w:cs="Times New Roman" w:eastAsia="Times New Roman" w:hAnsi="Times New Roman"/>
          <w:sz w:val="18"/>
          <w:szCs w:val="18"/>
          <w:i w:val="1"/>
          <w:iCs w:val="1"/>
          <w:color w:val="auto"/>
        </w:rPr>
        <w:t>www.wolverineworldwide.com/investor-relations/corporate-governance</w:t>
      </w:r>
      <w:r>
        <w:rPr>
          <w:rFonts w:ascii="Times New Roman" w:cs="Times New Roman" w:eastAsia="Times New Roman" w:hAnsi="Times New Roman"/>
          <w:sz w:val="18"/>
          <w:szCs w:val="18"/>
          <w:color w:val="auto"/>
        </w:rPr>
        <w:t>. Printed copies of the documents listed above are available upon request, without charge, by writing to the Company at 9341 Courtland Drive, N.E., Rockford, Michigan 49351, Attention: General Counsel.</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also makes available on or through its website at </w:t>
      </w:r>
      <w:r>
        <w:rPr>
          <w:rFonts w:ascii="Times New Roman" w:cs="Times New Roman" w:eastAsia="Times New Roman" w:hAnsi="Times New Roman"/>
          <w:sz w:val="18"/>
          <w:szCs w:val="18"/>
          <w:i w:val="1"/>
          <w:iCs w:val="1"/>
          <w:color w:val="auto"/>
        </w:rPr>
        <w:t>www.wolverineworldwide.com/investor-relations</w:t>
      </w:r>
      <w:r>
        <w:rPr>
          <w:rFonts w:ascii="Times New Roman" w:cs="Times New Roman" w:eastAsia="Times New Roman" w:hAnsi="Times New Roman"/>
          <w:sz w:val="18"/>
          <w:szCs w:val="18"/>
          <w:color w:val="auto"/>
        </w:rPr>
        <w:t xml:space="preserve">, free of charge, the Company’s Annual Report on Form 10-K, Quarterly Reports on Form 10-Q and Current Reports on Form 8-K, and amendments to those reports (along with certain other Company filings with the Securities and Exchange Commission (“SEC”)), as soon as reasonably practicable after electronically filing such material with, or furnishing it to, the SEC. These materials are also accessible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and Operational Risks</w:t>
      </w:r>
    </w:p>
    <w:p>
      <w:pPr>
        <w:spacing w:after="0" w:line="106" w:lineRule="exact"/>
        <w:rPr>
          <w:sz w:val="20"/>
          <w:szCs w:val="20"/>
          <w:color w:val="auto"/>
        </w:rPr>
      </w:pPr>
    </w:p>
    <w:p>
      <w:pPr>
        <w:ind w:right="820"/>
        <w:spacing w:after="0" w:line="284" w:lineRule="auto"/>
        <w:rPr>
          <w:sz w:val="20"/>
          <w:szCs w:val="20"/>
          <w:color w:val="auto"/>
        </w:rPr>
      </w:pPr>
      <w:r>
        <w:rPr>
          <w:rFonts w:ascii="Times New Roman" w:cs="Times New Roman" w:eastAsia="Times New Roman" w:hAnsi="Times New Roman"/>
          <w:sz w:val="18"/>
          <w:szCs w:val="18"/>
          <w:i w:val="1"/>
          <w:iCs w:val="1"/>
          <w:color w:val="auto"/>
        </w:rPr>
        <w:t>The Company’s operating results could be adversely affected if it is unable to maintain its brands’ positive images with consumers or anticipate, understand and respond to changing footwear and apparel trends and consumer preferences.</w:t>
      </w:r>
    </w:p>
    <w:p>
      <w:pPr>
        <w:spacing w:after="0" w:line="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popularity of particular designs and categories of footwear and apparel, with consumers generally changes over time. The Company’s success depends in part on its ability to anticipate, understand and respond to changing footwear and apparel trends and consumer preferences in a timely manner. If the Company is unable to maintain and improve its competitive position, maintain or enhance the images of its brands, timely and appropriately respond to new competition, changing consumer preferences and evolving footwear and apparel trends, consumers may consider the Company's brands’ images to be outdated and associate its brands with styles that are no longer popular, which would decrease demand for its products. Such failures could result in loss of market share, reduced sales, excess inventory, trade name impairments, lower gross margin and other adverse impacts on the Company’s operating results.</w:t>
      </w:r>
    </w:p>
    <w:p>
      <w:pPr>
        <w:spacing w:after="0" w:line="13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Significant capacity constraints, production disruptions, inventory management, quality issues, price increases and other risks associated with foreign sourcing could increase the Company’s operating costs and adversely impact the Company’s business and reputation.</w:t>
      </w:r>
    </w:p>
    <w:p>
      <w:pPr>
        <w:spacing w:after="0" w:line="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sources a substantial majority of its products from third-party manufacturers in foreign countries, predominantly in the Asia Pacific region. The Company may experience difficulties with its manufacturers, including reductions in production capacity, failures to meet production deadlines, inventory management issues, failure to meet quality standards, or increases in labor and other manufacturing costs. The Company does not have long-term contracts with its third-party manufacturers and its future results depend partly on its ability to maintain its relationships with third-party manufacturers.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Foreign manufacturing is subject to a number of risks, including work stoppages, transportation delays and interruptions, political instability, foreign currency exchange rate fluctuations, changing economic conditions, expropriation, nationalization, the imposition of tariffs, including recent U.S. tariffs imposed or threatened to be imposed on other countries and any retaliatory actions taken by such countries, import and export controls and other non-tariff barriers and changes in governmental policies. Various factors could significantly impair the Company's ability to meet customer demands and produce its products in a cost-effective manner, including adverse developments in trade or political relations with China or other countries where it sources its products, or a shift in these countries' manufacturing capacities away from footwear and apparel to other industries or</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 w:name="page11"/>
    <w:bookmarkEnd w:id="10"/>
    <w:p>
      <w:pPr>
        <w:jc w:val="both"/>
        <w:spacing w:after="0" w:line="282" w:lineRule="auto"/>
        <w:rPr>
          <w:sz w:val="20"/>
          <w:szCs w:val="20"/>
          <w:color w:val="auto"/>
        </w:rPr>
      </w:pPr>
      <w:r>
        <w:rPr>
          <w:rFonts w:ascii="Times New Roman" w:cs="Times New Roman" w:eastAsia="Times New Roman" w:hAnsi="Times New Roman"/>
          <w:sz w:val="18"/>
          <w:szCs w:val="18"/>
          <w:color w:val="auto"/>
        </w:rPr>
        <w:t>adverse developments, such as pandemics or other health crises that cause significant production and shipping delays. Any of these events could adversely effect the Company’s business, results of operations and financial position.</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ability to import products in a timely and cost-effective manner may also be affected by issues that affect transportation and warehousing providers, such as fluctuations in freight costs, port and shipping capacity, labor disputes or severe weather. These issues have in the past and may in the future delay importation of products or require the Company to locate alternative ports or warehousing providers. Alternatives may not be available on short notice or could result in higher costs, which could have an adverse impact on the Company’s business and financial condition.</w:t>
      </w:r>
    </w:p>
    <w:p>
      <w:pPr>
        <w:spacing w:after="0" w:line="12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Pandemics, including COVID-19 and other infectious disease outbreaks have had and could continue to have a material adverse effect on the company's business.</w:t>
      </w:r>
    </w:p>
    <w:p>
      <w:pPr>
        <w:spacing w:after="0" w:line="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business could be adversely affected by infectious disease outbreaks, which may negatively affect the regional and global economy, including by disrupting consumer spending and global supply chains, and increasing the volatility of financial markets. These conditions following the onset of the COVID-19 pandemic led to a decline in discretionary spending by consumers that had a negative effect on the Company's financial condition and results of operations in 2020. Outbreaks of disease and actions taken in response, have in the past materially negatively impacted, and could in the future materially negatively impact, the Company's workforce, business, operations, and financial results in many ways. Potential future impacts to the Company’s business related to a health crisis, include, among others:</w:t>
      </w:r>
    </w:p>
    <w:p>
      <w:pPr>
        <w:spacing w:after="0" w:line="52" w:lineRule="exact"/>
        <w:rPr>
          <w:sz w:val="20"/>
          <w:szCs w:val="20"/>
          <w:color w:val="auto"/>
        </w:rPr>
      </w:pPr>
    </w:p>
    <w:p>
      <w:pPr>
        <w:ind w:left="580" w:right="360" w:hanging="329"/>
        <w:spacing w:after="0" w:line="281" w:lineRule="auto"/>
        <w:tabs>
          <w:tab w:leader="none" w:pos="5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employees, suppliers and other business providers to carry out tasks at ordinary levels of performance due to measures taken to limit the spread of infectious diseases.</w:t>
      </w:r>
    </w:p>
    <w:p>
      <w:pPr>
        <w:spacing w:after="0" w:line="1"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retail traffic due to store closures, social distancing measures, reduced operating hours, and/or changes in consumer behavior.</w:t>
      </w:r>
    </w:p>
    <w:p>
      <w:pPr>
        <w:spacing w:after="0" w:line="63" w:lineRule="exact"/>
        <w:rPr>
          <w:rFonts w:ascii="Times New Roman" w:cs="Times New Roman" w:eastAsia="Times New Roman" w:hAnsi="Times New Roman"/>
          <w:sz w:val="18"/>
          <w:szCs w:val="18"/>
          <w:color w:val="auto"/>
        </w:rPr>
      </w:pPr>
    </w:p>
    <w:p>
      <w:pPr>
        <w:ind w:left="580" w:right="600" w:hanging="329"/>
        <w:spacing w:after="0" w:line="281" w:lineRule="auto"/>
        <w:tabs>
          <w:tab w:leader="none" w:pos="5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Wholesale and distributor customer order cancellation and decreased consumer demand for the Company's products as a result of decreased consumer spending due to general macroeconomic conditions, decreased disposable income and increased unemployment.</w:t>
      </w:r>
    </w:p>
    <w:p>
      <w:pPr>
        <w:spacing w:after="0" w:line="1" w:lineRule="exact"/>
        <w:rPr>
          <w:rFonts w:ascii="Times New Roman" w:cs="Times New Roman" w:eastAsia="Times New Roman" w:hAnsi="Times New Roman"/>
          <w:sz w:val="18"/>
          <w:szCs w:val="18"/>
          <w:color w:val="auto"/>
        </w:rPr>
      </w:pPr>
    </w:p>
    <w:p>
      <w:pPr>
        <w:ind w:left="580" w:right="280" w:hanging="329"/>
        <w:spacing w:after="0" w:line="281" w:lineRule="auto"/>
        <w:tabs>
          <w:tab w:leader="none" w:pos="5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 in the performance or financial condition of the Company’s major wholesale customers as a result of retail store closures, bankruptcy or liquidation.</w:t>
      </w:r>
    </w:p>
    <w:p>
      <w:pPr>
        <w:spacing w:after="0" w:line="1" w:lineRule="exact"/>
        <w:rPr>
          <w:rFonts w:ascii="Times New Roman" w:cs="Times New Roman" w:eastAsia="Times New Roman" w:hAnsi="Times New Roman"/>
          <w:sz w:val="18"/>
          <w:szCs w:val="18"/>
          <w:color w:val="auto"/>
        </w:rPr>
      </w:pPr>
    </w:p>
    <w:p>
      <w:pPr>
        <w:ind w:left="580" w:right="480" w:hanging="329"/>
        <w:spacing w:after="0" w:line="281" w:lineRule="auto"/>
        <w:tabs>
          <w:tab w:leader="none" w:pos="5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the operations of the Company’s distribution centers and its third-party manufacturers because of facility closures, reductions in operating hours, labor or material shortages, travel limitations or mass transit disruptions.</w:t>
      </w:r>
    </w:p>
    <w:p>
      <w:pPr>
        <w:spacing w:after="0" w:line="1"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expenses related to mitigating the impact of a health crisis on regular operations.</w:t>
      </w:r>
    </w:p>
    <w:p>
      <w:pPr>
        <w:spacing w:after="0" w:line="63"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disruption affecting the Company's ability to receive and distribute goods and increasing supply chain costs.</w:t>
      </w:r>
    </w:p>
    <w:p>
      <w:pPr>
        <w:spacing w:after="0" w:line="63"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cyber security risk due to the increase in the number of employees working remotely.</w:t>
      </w:r>
    </w:p>
    <w:p>
      <w:pPr>
        <w:spacing w:after="0" w:line="63"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availability and prices for commodities for raw materials used in the Company's products and related inflationary pressures.</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occurrence of a health crisis may also affect the Company's operating and financial results in a manner that is not presently known to the Company or that the Company does not currently believe presents significant risks to its operations.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Labor disruptions could adversely affect the Company’s business.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business depends on its ability to source and distribute products in a timely and cost-effective manner. Labor disputes at or that affect factories that produce the Company’s goods, shipping ports, tanneries, transportation carriers, retail stores or distribution centers create significant risks for the Company’s business as they may in work slowdowns, stoppages, lockouts, strikes or other disruptions. Any such disruption may cause inventory shortages, delayed or canceled orders and unanticipated inventory accumulation, each of which may negatively impact the Company’s results of operations and financial position.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If the Company is unable to hire qualified persons for, or retain and continue to develop, its workforce, its results of operations could be adversely affected.</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success depends on its ability to attract and retain qualified personnel, including in its product, eCommerce, and leadership teams. Competition for such personnel in the Company's industry is intense. The Company’s ability to hire and retain qualified personnel may be affected by a number of factors, including: its ability to attract and motivate employees; competition from other companies for qualified personnel; and the Company’s ability to offer employees remote work opportunities. If the Company is unable to hire and retain employees who perform at a high level, its business, including cash flows, results of operations, employee satisfaction, and reputation,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 w:name="page12"/>
    <w:bookmarkEnd w:id="11"/>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 significant reduction in wholesale customer purchases of the Company’s products, wholesale customers negotiating more favorable terms, or wholesale customers' failure to pay for the Company’s products in a timely manner could adversely affect the Company’s business.</w:t>
      </w:r>
    </w:p>
    <w:p>
      <w:pPr>
        <w:spacing w:after="0" w:line="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financial success depends on its wholesale customers continuing to purchase its products. Sales to the Company’s wholesale customers are generally on an order-to-order basis and are subject to wholesale customers' rights of cancellation and rescheduling. In fiscal 2022, the Company experienced a higher rate than usual of wholesale customer cancellations as retail customers sought to manage higher inventory levels and supply chain disruption. If any of the Company’s major wholesale customers experiences a significant downturn in its business, or fails to remain committed to the Company’s products, these customers may reduce or discontinue purchases from the Company, which could have an adverse effect on the Company’s results of operations and financial position.</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extends credit to its wholesale customers based on an evaluation of each wholesale customer’s financial condition. A wholesale customer's financial difficulties could cause the Company to reduce or stop doing business with that customer. The Company’s inability to collect from its wholesale customers or a cessation or reduction of sales to certain wholesale customers because of credit concerns could have an adverse effect on the Company’s business, results of operations and financial position.</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Retail consolidation could lead to fewer wholesale customers, wholesale customers seeking more favorable price, payment or other terms from the Company and a decrease in the number of stores that carry the Company’s products. In addition, changes in distribution channels, such as the continued growth of eCommerce and related competitive pressures, and the sale of private label products by major retailers, could have an adverse effect on the Company’s results of operations and financial position.</w:t>
      </w:r>
    </w:p>
    <w:p>
      <w:pPr>
        <w:spacing w:after="0" w:line="12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Company’s direct-to-consumer operations continue to require substantial investment and commitment of resources and are subject to numerous risks and uncertainties.</w:t>
      </w:r>
    </w:p>
    <w:p>
      <w:pPr>
        <w:spacing w:after="0" w:line="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direct-to-consumer operations, including brick and mortar locations and its eCommerce and mobile channels, require substantial fixed investment in equipment and leasehold improvements, information systems, cyber-security infrastructure, inventory and personnel. The Company also has substantial operating lease commitments for retail space. Due to the high fixed-cost structure of the Company’s brick and mortar direct-to-consumer operations, the closure or poor performance of any stores could result in significant lease termination costs, write-offs of equipment and leasehold improvements and employee-related costs. The Company has made and will continue to make significant investments in building technologies and digital capabilities. The success of its direct-to-consumer operations also depends on the Company’s ability to identify and adapt to changes in consumer spending patterns and retail shopping preferences, including the shift from brick and mortar to eCommerce and mobile channels and the continuing evolution of omni-channel retailing. The Company’s failure to respond to these factors successfully could adversely affect the Company’s direct-to-consumer business, limit the Company's ability to develop and expand the omni-channel experience for customers or damage its reputation and brands, any of which may have an adverse effect on the Company’s results of operations and financial position.</w:t>
      </w:r>
    </w:p>
    <w:p>
      <w:pPr>
        <w:spacing w:after="0" w:line="13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Company’s reputation and competitive position depend on its third-party manufacturers, distributors, licensees and others complying with applicable laws and ethical standards.</w:t>
      </w:r>
    </w:p>
    <w:p>
      <w:pPr>
        <w:spacing w:after="0" w:line="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cannot ensure that its independent contract manufacturers, third-party distributors, third-party licensees and others with which it does business comply with all applicable laws and ethical standards. If a party with which the Company does business is found to have violated applicable laws or ethical standards, the Company could be subject to negative publicity that damages its reputation, negatively affects the value of its brands and subjects the Company to legal risks.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attempts to protect its brands through approval rights over design, production processes, quality, packaging, merchandising, distribution, advertising and promotion of its licensed products may not be successful as the Company cannot completely control its licensees' use of its licensed brands. The misuse of a Company brand by a licensee could adversely affect the value of such brand.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Disruption of the Company’s eCommerce platform or other information technology systems could adversely affect the Company’s business.</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information technology systems, including its eCommerce platform, are critical to the operations of its business. Any material interruption, unauthorized access, impairment or loss of data integrity or malfunction of these systems could severely impact the Company’s business. For example, system failures and disruptions could prevent access to the Company's online services, preclude store transactions, and impede product manufacturing and shipping and financial reporting. The Company’s information technology systems may be disrupted by natural disasters, accidents, power disruptions, telecommunications failures, acts of terrorism or war, denial-of-service attacks, computer viruses, physical or electronic break-ins, or similar events. System redundancy may be ineffective or inadequate, and the Company’s disaster recovery planning may</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2" w:name="page13"/>
    <w:bookmarkEnd w:id="12"/>
    <w:p>
      <w:pPr>
        <w:jc w:val="both"/>
        <w:spacing w:after="0" w:line="266" w:lineRule="auto"/>
        <w:rPr>
          <w:sz w:val="20"/>
          <w:szCs w:val="20"/>
          <w:color w:val="auto"/>
        </w:rPr>
      </w:pPr>
      <w:r>
        <w:rPr>
          <w:rFonts w:ascii="Times New Roman" w:cs="Times New Roman" w:eastAsia="Times New Roman" w:hAnsi="Times New Roman"/>
          <w:sz w:val="18"/>
          <w:szCs w:val="18"/>
          <w:color w:val="auto"/>
        </w:rPr>
        <w:t>not be sufficient for all eventualities. Costs, problems and interruptions due to the implementation of new or upgraded systems, or maintenance of existing systems, could also disrupt or reduce the efficiency of the Company's operations. Additionally, the Company may be adversely affected if it is unable to improve, upgrade, maintain, and expand its technology systems.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Problems affecting the Company's logistics and distribution systems could adversely affect its ability to deliver its products to the market.</w:t>
      </w:r>
    </w:p>
    <w:p>
      <w:pPr>
        <w:spacing w:after="0" w:line="1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relies on owned and independently operated distribution facilities to transport, warehouse and ship products to its customers. The Company’s logistics and distribution systems include computer-controlled and automated equipment, which are subject to a number of risks related to, data accuracy, security breaches or computer viruses, software or hardware malfunction, power interruptions or other system failures. Substantially all of the Company’s products are distributed from a relatively small number of locations. Distribution center operations could be interrupted by earthquakes, floods, fires or other natural disasters or other events over which the Company has no control, such as pandemics. In addition, the Company's distribution capacity depends upon the timely performance of services by third parties, including the transportation of products to and from the Company's distribution facilities. The Company’s business interruption insurance may not adequately protect the Company from the adverse effects of significant disruptions of distribution activities, such as the loss of customers or an erosion of brand image. Problems affecting the performance of the Company's distribution system could adversely affect its results of operations and its ability to meet customer expectations, manage inventory, complete sales and achieve operating efficiencies.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Company faces risks associated with its growth strategies including acquiring and disposing of businesses.</w:t>
      </w:r>
    </w:p>
    <w:p>
      <w:pPr>
        <w:spacing w:after="0" w:line="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expanded in part through strategic acquisitions, and it may continue to do so if it can identify and successfully acquire suitable acquisition candidates. Acquisitions involve numerous risks, including risks inherent in entering markets in which the Company may not have prior experience; potential loss of an acquired business's significant customers or key personnel; managing geographically-remote operations; and potential diversion of management’s attention from other aspects of the Company’s business. Acquisitions may cause the Company to incur debt or result in dilutive issuances of its equity securities, write-offs of goodwill and substantial amortization expenses associated with other intangible assets. If financing for future acquisitions is not available on favorable terms, such acquisitions would be more expensive. Any such financing may have terms that restrict the Company’s operations. The Company may not be able to successfully integrate the operations of any acquired businesses and achieve the expected benefits of any acquisitions. In addition, the Company may not consummate a potential acquisition for a variety of reasons, but still incur material costs in connection with an acquisition that it cannot recover. The failure to achieve the expected benefits of strategic acquisitions in the future, or consummate a potential acquisition after incurring material costs, could have an adverse effect on the Company’s business, results of operations and financial position.</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From time to time, the Company may seek to sell one or more businesses, or sell or license one or more brands. For example, as part of the Company’s strategy to invest in brands that offer the greatest opportunities for growth, the Company sold the global </w:t>
      </w:r>
      <w:r>
        <w:rPr>
          <w:rFonts w:ascii="Times New Roman" w:cs="Times New Roman" w:eastAsia="Times New Roman" w:hAnsi="Times New Roman"/>
          <w:sz w:val="18"/>
          <w:szCs w:val="18"/>
          <w:i w:val="1"/>
          <w:iCs w:val="1"/>
          <w:color w:val="auto"/>
        </w:rPr>
        <w:t>Sperry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business in 2024. These transactions may involve challenges and risks. There can be no assurance that future divestitures will occur, or as to the potential value created by a completed transaction. The process of exploring strategic alternatives or selling a business could cause uncertainty and negatively impact our ability to attract, retain and motivate key employees. In addition, the Company expends costs and management resources to complete divestitures and manage post-closing arrangements. Any failures or delays in completing divestitures could have an adverse effect on the Company’s financial results and ability to execute its strategy.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Company’s international operations may be affected by legal, regulatory, political and economic risks.</w:t>
      </w:r>
    </w:p>
    <w:p>
      <w:pPr>
        <w:spacing w:after="0" w:line="9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Company’s ability to conduct business in new and existing international markets, and to continue to source a substantial majority of its products from foreign countries, is subject to legal, regulatory, political and economic risks. These include:</w:t>
      </w:r>
    </w:p>
    <w:p>
      <w:pPr>
        <w:spacing w:after="0" w:line="1"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burdens of complying with foreign laws and regulations, including trade and labor restrictions;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U.S. and other countries’ laws relating to foreign operations, including the U.S. Foreign Corrupt Practices Act (“FCPA”), which prohibits U.S. companies from making improper payments to foreign officials for the purpose of obtaining or retaining business;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tariffs or other barriers in international markets, including China.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also subject to general social, political and economic risks in connection with its international operations, including:</w:t>
      </w:r>
    </w:p>
    <w:p>
      <w:pPr>
        <w:spacing w:after="0" w:line="63"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and political instability, war and terrorist attacks;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business culture and laws governing relationships with employees and business partners;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diplomatic and trade relationships, including with China, Canada, Mexico and other U.S. trading partners; and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 w:name="page14"/>
    <w:bookmarkEnd w:id="13"/>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conditions in specific countries or markets.</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Changes in regulatory, geopolitical, social or economic policies and other factors may have an adverse effect on the Company’s business or require the Company to exit a particular market or significantly modify its current business practices.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also subject to risks related to doing business in developing countries and economically volatile areas, such as nationalization by local governmental authorities of the Company’s, its distributors’, or its licensees’ assets; slower payment of invoices; and restrictions on the Company’s ability to repatriate foreign currency or receive payment of amounts owed by third-party distributors and licensees. Commercial laws in these areas may not be well developed or consistently administered, and new unfavorable laws may be retroactively applied. Any of these risks could have an adverse impact on the Company’s prospects and results of operations in these areas.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rate fluctuations could adversely impact the Company’s business.</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Changes in foreign currency exchange rates may impact the Company’s financial results positively or negatively in any given period, which may make it difficult to compare the Company’s operating results from different periods. Foreign currency exchange rate fluctuations may also adversely impact third parties that manufacture the Company’s products by increasing their costs of production and raw materials and making such costs more difficult to finance, thereby raising prices for the Company, its distributors and its licensees. The Company’s hedging strategy may not successfully mitigate the Company’s foreign currency exchange rate risk. For a more detailed discussion of the risks related to foreign currency exchange rate fluctuations, see Item 7A: “Quantitative and Qualitative Disclosures About Market Risk.”</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foreign subsidiaries and foreign distributors purchase Company products in U.S. dollars and the cost of those products varies depending on the applicable foreign currency exchange rate. This impacts the price charged to foreign customers and in turn, the amount of royalties paid to the Company by foreign distributors in U.S. dollars. When the U.S. dollar strengthens relative to foreign currencies, the Company's revenues and profits denominated in foreign currencies are reduced when converted into U.S. dollars and the Company's margins may be negatively impacted by the increase in product costs. The Company may seek to mitigate the negative impacts of foreign currency exchange rate fluctuations through price increases and further actions to reduce costs, but the Company may not be able to fully offset the impact, if at all. The Company’s success depends, in part, on its ability to manage these various foreign currency impacts.</w:t>
      </w:r>
    </w:p>
    <w:p>
      <w:pPr>
        <w:spacing w:after="0" w:line="13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The Company’s quarterly sales and earnings may fluctuate, and the Company or securities analysts may not accurately estimate the Company’s financial results, which may result in volatility, or a decline, in the Company's stock price. Decreases in the returns provided to the Company's stockholders may ultimately adversely affect its business, results of operations and financial condition.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quarterly sales and earnings can vary due to a number of factors, many of which are beyond its control, including:</w:t>
      </w:r>
    </w:p>
    <w:p>
      <w:pPr>
        <w:spacing w:after="0" w:line="63" w:lineRule="exact"/>
        <w:rPr>
          <w:sz w:val="20"/>
          <w:szCs w:val="20"/>
          <w:color w:val="auto"/>
        </w:rPr>
      </w:pPr>
    </w:p>
    <w:p>
      <w:pPr>
        <w:ind w:left="660" w:hanging="328"/>
        <w:spacing w:after="0" w:line="28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from major wholesale customers, which may change delivery schedules, change the mix of products they order or cancel orders without penalty.</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Company's estimated annual tax rate, which is based on projections of its domestic and international operating results for the year, which the Company reviews and revises as necessary each quarter.</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manufacturing and transportation costs, changes in product sales mix, geographic sales trends, weather conditions, customer demand, consumer sentiment and currency exchange rate fluctuations.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these and other factors, the Company’s operating results will vary from quarter to quarter and the results for any particular quarter may not be indicative of results for the full year. In addition, various securities analysts follow the Company’s financial results and issue reports that include the analysts’ estimates of future Company performance, which are often different from the Company’s estimates. Any shortfall in sales or earnings from the levels expected by investors or securities analysts could cause a decrease in the trading price of the Company’s common stock.</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Decreases in the trading price of the Company's stock may adversely affect its stockholders' returns. Such adverse effects, as well as other factors, may cause stockholders to take actions to involve themselves in the strategic direction and governance, including through private engagement, public campaigns, stockholder proposals and proxy contests. Responding to these actions can be costly and time-consuming and could divert the attention of the board and senior management from managing the Company's operations.</w:t>
      </w:r>
    </w:p>
    <w:p>
      <w:pPr>
        <w:spacing w:after="0" w:line="12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Changes in general economic conditions and other factors affecting consumer spending could adversely affect the Company’s sales, costs, operating results or financial position.</w:t>
      </w:r>
    </w:p>
    <w:p>
      <w:pPr>
        <w:spacing w:after="0" w:line="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results of operations depend on factors affecting consumer disposable income and spending patterns such as general economic conditions, inflation, employment rates, credit availability, business conditions, interest rates, consumer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 w:name="page15"/>
    <w:bookmarkEnd w:id="14"/>
    <w:p>
      <w:pPr>
        <w:jc w:val="both"/>
        <w:spacing w:after="0" w:line="258" w:lineRule="auto"/>
        <w:rPr>
          <w:sz w:val="20"/>
          <w:szCs w:val="20"/>
          <w:color w:val="auto"/>
        </w:rPr>
      </w:pPr>
      <w:r>
        <w:rPr>
          <w:rFonts w:ascii="Times New Roman" w:cs="Times New Roman" w:eastAsia="Times New Roman" w:hAnsi="Times New Roman"/>
          <w:sz w:val="18"/>
          <w:szCs w:val="18"/>
          <w:color w:val="auto"/>
        </w:rPr>
        <w:t>confidence and tax policy in the markets and regions in which the Company or its third-party distributors and licensees operates. Customers may defer or cancel purchases of the Company’s products due to uncertainty about global, regional or local economic conditions, and how such conditions may impact them. Prior declines in disposable income and consumer spending have adversely affected demand for the Company’s products, and could further adversely affect demand and the Company's results of operations. If the Company reduces the prices of its products, offers additional promotions or increases marketing efforts due to decreases in consumer spending, the Company's profitability could decline.</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inflationary pressures, including increased costs of raw materials, transportation, labor and other aspects of its business, which the Company may not be able to offset with cost savings or price increases on its products. If inflationary pressures continue, and the Company is unable to pass along price increases or further reduce costs, the Company's results of operations will be negatively impacted.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Company operates in competitive industries and markets.</w:t>
      </w:r>
    </w:p>
    <w:p>
      <w:pPr>
        <w:spacing w:after="0" w:line="1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competes with a large number of wholesalers, and retailers of footwear and apparel, and direct-to-consumer footwear and apparel companies. Many have larger customer and consumer bases, and/or greater financial, technical or marketing resources than the Company, particularly its competitors in the apparel and direct-to-consumer businesses. The Company’s competitors may have brands with greater name recognition; implement more effective marketing campaigns; adopt more aggressive pricing policies; make more attractive offers to potential employees, distribution partners and manufacturers; or respond more quickly to changes in consumer preferences. The Company’s continued ability to sell its products at competitive prices and to meet shifts in consumer preferences quickly will affect its sales. If the Company is unable to respond effectively to competitive pressures, its results of operations and financial position may be adversely affected.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Unseasonable or extreme weather conditions could adversely affect the Company’s results of operations.</w:t>
      </w:r>
    </w:p>
    <w:p>
      <w:pPr>
        <w:spacing w:after="0" w:line="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results of operations depend on weather conditions and its ability to react to changes in weather conditions. The Company markets and sells footwear and apparel suited for specific seasons, such as sandals for the summer season and boots for the winter season. Significant variations in weather conditions from those typical for a season, such as an unusually cold and rainy summer or an unusually warm and dry winter, may adversely affect consumer demand for seasonally appropriate products. Lower demand for seasonally appropriate products may result in excess inventory, forcing the Company to sell these products at significantly discounted prices, which would adversely affect the Company’s results of operations. Conversely, if weather conditions increase demand for seasonal products early in the season, this may reduce inventory levels needed to meet customers’ needs later in that same season.</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Extreme weather conditions can also adversely impact the Company’s business, results of operations and financial position. If extreme weather events disrupt or close operations at distribution centers, the Company could incur higher costs and experience longer lead times to distribute its products to its retail stores, wholesale customers or eCommerce consumers. Extreme weather conditions can also decrease shopping traffic or cause the Company or its wholesale customers to close retail stores, which could have an adverse effect on the Company’s results of operations and financial position.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Climate change, and related legislative and regulatory responses to climate change, may adversely impact the Company’s business.</w:t>
      </w:r>
    </w:p>
    <w:p>
      <w:pPr>
        <w:spacing w:after="0" w:line="1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is growing concern that climate changes could cause significant changes in weather patterns around the globe and increase the frequency and severity of natural disasters. This could have a long-term adverse impact on the Company’s business and results of operations by increasing the effects described in the risk factor “Unseasonable or extreme weather conditions could adversely affect the Company’s results of operations” and decreasing agricultural productivity in certain regions, which may limit availability and/or increase the cost of certain raw materials, such as cotton and leather. Concern over climate change may result in new or additional legal, legislative, regulatory, and compliance requirements to reduce or mitigate the effects of climate change on the environment, which could result in future tax, transportation, and utility increases, which could adversely affect the Company’s business and results of operations. Domestic and international regulatory efforts are evolving, including the potential international alignment of such efforts, and the Company cannot determine what final regulations will be enacted, modified, or reversed or the ultimate impact on its business.</w:t>
      </w:r>
    </w:p>
    <w:p>
      <w:pPr>
        <w:spacing w:after="0" w:line="12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Changes in general economic conditions and/or the credit markets affecting the Company's distributors, suppliers and retailers could adversely affect the Company’s results of operations and financial position.</w:t>
      </w:r>
    </w:p>
    <w:p>
      <w:pPr>
        <w:spacing w:after="0" w:line="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Negative trends in global economic conditions may adversely impact the Company's third-party distributors’, suppliers’ and retailers’ ability to meet their obligations to provide the Company with the materials and services it needs at the prices, terms or levels as such third-parties have historically, which could adversely impact the Company’s ability to meet consumers’ demands and, in turn, the Company's results of operations and financial position.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5" w:name="page16"/>
    <w:bookmarkEnd w:id="15"/>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if the Company’s third-party distributors, suppliers and retailers are not able to obtain financing on favorable terms, or at all, they may delay or cancel orders for the Company’s products or fail to meet their obligations to the Company in a timely manner, either of which could adversely impact the Company’s sales, cash flow and operating results.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Global political and economic uncertainty could adversely impact the Company’s business.</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Concerns regarding acts of terrorism or regional and international conflicts and concerns regarding public health threats, such as COVID-19, have created and may in the future create significant global economic and political uncertainties that may adversely affect consumer demand, acceptance of U.S. brands in international markets, foreign sourcing of products, shipping and transportation, product imports and exports and the sale of products in foreign markets, any of which could adversely affect the Company’s ability to source, manufacture, distribute and sell its products.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an economic downturn, whether actual or perceived, a decrease in economic growth rates or an otherwise uncertain economic outlook in markets in which the Company operates could adversely effect the Company.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Risks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Company’s operating results depend on effectively managing inventory levels.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ability to effectively manage its inventories and accurately forecast demand are important factors in its operations. Inventory shortages can impede the Company’s ability to meet demand and, consequently, adversely affect business relationships with retail customers, diminish brand loyalty and decrease sales. Conversely, excess inventory can result in lower gross margins if the Company lowers prices in order to liquidate inventory. In addition, inventory may become obsolete as a result of changes in consumer preferences. The Company’s business, results of operations and financial position could be adversely affected if it is unable to effectively manage its inventory.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Increases or changes in duties, quotas, tariffs and other trade restrictions could adversely impact the Company’s sales and profitability.</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products manufactured overseas and imported into other countries are subject to customs duties. Review of the customs information submitted by the Company may result in the assessment of additional duties or penalties. Additional U.S. or foreign customs duties, quotas, tariffs, anti-dumping duties, safeguard measures, cargo restrictions, the loss of most favored nation trading status or other trade restrictions, including those due to changes in trade relations between the U.S. and other countries, may be imposed on the importation of the Company’s products in the future. The imposition of such costs or restrictions in countries where the Company operates, as well as in countries where its third-party distributors and licensees operate, could result in increases in the cost of the Company’s products and adversely affect its sales and profitability.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Increases in the cost of raw materials, labor and services could adversely affect the Company’s results of operations.</w:t>
      </w:r>
    </w:p>
    <w:p>
      <w:pPr>
        <w:spacing w:after="0" w:line="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ability to competitively price its products depends on the prices of commodities, such as cotton, leather, rubber, petroleum, cattle, pigskin hides, and other raw materials, used to make and transport its products, as well as the prices of equipment, labor, transportation and shipping, insurance and health care. The cost of commodities, equipment, services and materials is subject to change based on availability and general economic and market conditions that are difficult to predict. Various conditions, such as diseases affecting the availability of leather, affect the cost of the Company's products. Increases in costs for commodities, equipment, services and materials could have a negative impact on the Company’s results of operations and financial position.</w:t>
      </w:r>
    </w:p>
    <w:p>
      <w:pPr>
        <w:spacing w:after="0" w:line="13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An increase in the Company’s effective tax rate or negative determinations by domestic or foreign tax authorities could have an adverse effect on the Company’s results of operations and financial position.</w:t>
      </w:r>
    </w:p>
    <w:p>
      <w:pPr>
        <w:spacing w:after="0" w:line="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significant amount of the Company’s earnings are generated by its Canadian, European and Asia Pacific subsidiaries and, to a lesser extent, in jurisdictions that are not subject to income tax. As a result, the Company’s income tax expense has historically differed from the tax computed at the U.S. statutory income tax rate due to discrete items and because the Company did not provide for U.S. taxes on non-cash undistributed earnings that it intends to permanently reinvest in foreign operations. The Company’s future effective tax rates could be unfavorably affected by a number of factors, including, but not limited to, changes in the tax rates in jurisdictions in which the Company generates income; changes in, or in the interpretation of, tax rules and regulations in the jurisdictions in which the Company does business; or decreases in the amount of earnings in countries with low statutory tax rates. An increase in the Company’s effective tax rate could have an adverse effect on its results of operations and financial position.</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income tax returns are subject to examination by domestic and foreign tax authorities. The Company regularly assesses the likelihood of outcomes resulting from these examinations to determine the adequacy of its provision for income taxes and establishes reserves for potential adjustments that may result from these examinations. The final determination of any of these examinations could have an adverse effect on the Company’s results of operations and financial position.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color w:val="auto"/>
        </w:rPr>
        <w:t>An impairment of goodwill or other intangibles could have an adverse impact to the Company’s results of operations.</w:t>
      </w:r>
    </w:p>
    <w:p>
      <w:pPr>
        <w:spacing w:after="0" w:line="1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 xml:space="preserve">The carrying value of goodwill represents the fair value of acquired businesses in excess of identifiable assets and liabilities as of the acquisition date. The carrying value of other intangibles represents the fair value of trade names and other acquired intangibles as of the acquisition date. Goodwill and other acquired intangibles expected to contribute indefinitely to the Company’s cash flows are not amortized but must be evaluated by the Company at least annually for impairment. If the carrying amounts of one or more of these assets are not recoverable based upon discounted cash flow and market-approach analyses, the carrying amounts of such assets are impaired by the estimated difference between the carrying value and estimated fair value. An impairment charge could adversely affect the Company’s results of operations, such as the impairments recorded associated with the </w:t>
      </w:r>
      <w:r>
        <w:rPr>
          <w:rFonts w:ascii="Times New Roman" w:cs="Times New Roman" w:eastAsia="Times New Roman" w:hAnsi="Times New Roman"/>
          <w:sz w:val="18"/>
          <w:szCs w:val="18"/>
          <w:i w:val="1"/>
          <w:iCs w:val="1"/>
          <w:color w:val="auto"/>
        </w:rPr>
        <w:t>Sweaty Betty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trade name and goodwill in fiscal 2022.</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Company’s current level of indebtedness could adversely affect the Company by decreasing business flexibility and increasing borrowing costs.</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debt outstanding under a senior secured credit agreement (“Credit Agreement”) and senior notes. The Credit Agreement and the indenture governing the senior notes impose customary operating and financial restrictions on the Company, including restrictions that may limit the Company’s ability to engage in acts that may be in its best interests. These covenants restrict the ability of the Company and certain of its subsidiaries to, among other things: incur or guarantee indebtedness; incur liens; pay dividends or repurchase stock; enter into transactions with affiliates; consummate asset sales, acquisitions or mergers; prepay certain other indebtedness; or make investments. In addition, the Credit Agreement requires the Company to maintain specified financial ratios and satisfy other financial condition tests.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restrictive covenants may limit the Company’s ability to finance future operations or capital needs or to engage in other business activities. The Company’s ability to comply with any financial covenants could be materially affected by events beyond its control and the Company may be unable to satisfy any such requirements. If the Company fails to comply with these covenants, it may need to seek waivers or amendments of such covenants, seek alternative or additional sources of financing or reduce its expenditures. The Company may be unable to obtain such waivers, amendments or alternative or additional financing on favorable terms or at all.</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Regulatory Risks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If the Company is unsuccessful in establishing and protecting its intellectual property, the value of its brands could be adversely affected.</w:t>
      </w:r>
    </w:p>
    <w:p>
      <w:pPr>
        <w:spacing w:after="0" w:line="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ability to remain competitive depends upon its continued ability to secure and protect trademarks, patents and other intellectual property rights in the U.S. and internationally. The Company relies on a combination of trade secret, patent, trademark, copyright and other laws, license agreements and other contractual provisions and technical measures to protect its intellectual property rights; however, some countries’ laws do not protect intellectual property rights to the same extent as U.S. laws.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business could be significantly harmed if it is not able to protect its intellectual property or if it was found to infringe on other persons’ intellectual property rights. Any intellectual property lawsuits or threatened lawsuits in which the Company is a plaintiff or a defendant could cost the Company a significant amount of time and money and distract management’s attention from operating the Company’s business. If the Company does not prevail on any intellectual property claims, it may have to change its manufacturing processes, products or trade names, any of which could reduce its profitability.</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some of the Company’s branded footwear operations are operated pursuant to licensing agreements with third-party trademark owners. As these agreements end, whether expired by their terms or terminated early for breach, the Company may be forced to stop selling the related products. Expiration or termination of any of these license agreements could have an adverse effect on the Company’s business, results of operations and financial position.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employment laws and regulations and other related changes may lead to higher employment and pension costs for the Company.</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Changes in employment laws and regulations and other factors could increase the Company’s employment costs. The Company’s employment costs include costs of health care and retirement benefits, including U.S.-based defined benefit pension plans. The annual cost of benefits can vary significantly depending on various factors, including changes in the assumed or actual rate of return on pension plan assets, a change in the discount rate or mortality assumptions used to determine the annual service cost related to defined benefit plans, a change in the method or timing of meeting pension funding obligations and the rate of health care cost inflation. Increases in the Company’s overall employment and pension costs could have an adverse effect on the Company’s business, results of operations and financial position.</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7" w:name="page18"/>
    <w:bookmarkEnd w:id="17"/>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Increasing scrutiny and evolving expectations from customers, regulators, investors, and other stakeholders with respect to the Company’s environmental, social and governance (“ESG”) practices may impose additional costs on the Company or expose it to new or additional risks.</w:t>
      </w:r>
    </w:p>
    <w:p>
      <w:pPr>
        <w:spacing w:after="0" w:line="3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Companies are facing increasing and frequently evolving scrutiny globally from customers, regulators, investors, employees, other stakeholders and the media, including social media, related to their ESG practices and disclosure as expectations for, and support or criticism/skepticism of, such matters continues to evolve. Investor advocacy groups, investment funds and influential investors are also increasingly focused on these practices, especially as they relate to the environment, health and safety, board and workforce diversity, labor conditions, human rights, and cybersecurity and data privacy. Third parties have developed proprietary ratings or analyses of companies based on certain ESG metrics. Increased ESG-related compliance costs could increase the Company’s overall operational costs. Failure to adapt to or comply with regulatory requirements or investor or other stakeholder expectations and standards could negatively impact the Company’s reputation, ability to do business with certain partners, and stock price. New government regulations could also result in new or more stringent forms of ESG oversight and expanding mandatory reporting, diligence, and disclosure, and the Company cannot determine waht final regulations will be enacted, modified, or reversed or the ultimate impact on its business. The Company’s ESG initiatives and goals may be based on standards for measuring progress that are still developing, internal controls and processes that continue to evolve and assumptions that are subject to change. The Company may be subject to heightened reputational and operational risk and compliance costs related to the ESG initiatives and goals it discloses and may also face negative impacts from consumers who do not support its ESG initiatives and goals. Complying with new regulations could increase the Company’s costs and adversely impact results of operations. The Company’s pursuit or its failure or perceived failure to meet stakeholders’ expectations, as well as adverse incidents, could negatively impact the Company’s stock price, results of operations, or reputation and increase its cost of capital, and investors, consumers and other stakeholders could lose confidence in or disparage the Company and its brands, damaging the Company's reputation and negatively impacting operations.</w:t>
      </w:r>
    </w:p>
    <w:p>
      <w:pPr>
        <w:spacing w:after="0" w:line="13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Company’s and its vendors’ databases containing personal information and payment card data of the Company’s customers, employees and other third parties could be breached, which could subject the Company to adverse publicity, litigation, fines and expenses.</w:t>
      </w:r>
    </w:p>
    <w:p>
      <w:pPr>
        <w:spacing w:after="0" w:line="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protection of the Company’s customer, associate and Company data is critically important. The Company relies on its networks, databases, systems and processes, as well as those of third parties such as vendors, to protect its proprietary information and information about its customers, employees and vendors. The Company's operations have become increasingly centralized and dependent upon automated information technology processes, and a portion of the Company’s business operations is conducted electronically, increasing the risk of attack that could cause loss or misuse of data, system failures or disruption of operations. If unauthorized parties gain access to the Company's networks or databases, they may be able to steal, publish, delete or modify the Company’s private and sensitive third-party or employee information. Improper activities may result in compromise or breach of the Company’s networks, payment card terminals or other payment systems. The techniques used to obtain unauthorized access to sensitive data change frequently and often are not recognized until launched against a target; accordingly, the Company may be unable to anticipate these techniques or implement adequate preventative measures. Any failure to maintain the security of the Company’s customers’ sensitive information, or data belonging to it or its suppliers, could put it at a competitive disadvantage, result in deterioration of its customers’ confidence in it, and subject it to potential litigation, liability, fines and penalties, resulting in a possible adverse impact on its financial condition and results of operations. The Company's insurance coverage may be insufficient to cover all losses and would not remedy damage to the Company's reputation. In addition, employees may intentionally or inadvertently cause security breaches that result in unauthorized release of personal or confidential information. In such circumstances, the Company could be held liable to its customers, other parties or employees, be subject to regulatory or other actions for breaching privacy laws or failing to adequately protect such information or respond to a breach. This could result in costly investigations and litigation, civil or criminal penalties, operational changes and negative publicity that could adversely affect the Company’s reputation and its results of operations and financial position.</w:t>
      </w:r>
    </w:p>
    <w:p>
      <w:pPr>
        <w:spacing w:after="0" w:line="13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Company’s failure to comply an evolving set of laws and industry standards relating to consumer information, could negatively impact the Company’s business and results of operations.</w:t>
      </w:r>
    </w:p>
    <w:p>
      <w:pPr>
        <w:spacing w:after="0" w:line="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collects, maintains and uses data it receives through online activities and other consumer interactions in its business, including its marketing programs. The Company’s ability to do so is subject to certain restrictions in third party contracts and a broad array of evolving international, federal and state laws and industry standards relating to privacy, cybersecurity, data protection and consumer protection. These requirements may be interpreted and applied in a manner that is inconsistent from one jurisdiction to another, may conflict with other rules or may conflict with the Company’s practices. If the Company is not able to comply with any applicable requirements, the Company's reputation could be negatively impacted and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8" w:name="page19"/>
    <w:bookmarkEnd w:id="18"/>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may be subject to proceedings or actions against it by governmental entities or others that could adversely affect its business, financial condition, cash flows and results of operations.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data privacy, cybersecurity and marketing laws change, the Company may incur additional costs to remain in compliance. For example, the General Data Protection Regulation ("GDPR"), which applies in all European Union member states, introduced new data protection requirements in the European Union and substantial fines for breaches of the data protection rules. GDPR increased the Company’s responsibility and potential liability in relation to personal data that it collects, processes and transfers, and required the Company to implement additional controls designed to ensure compliance with the new rules. If applicable laws become more restrictive, the Company’s ability to effectively engage customers via personalized marketing may decrease, which could potentially impact growth. For example, the California Consumer Privacy Act (“CCPA”) limits how the Company may collect and use personal data and other states have adopted, or are considering enacting, similar laws that may affect the Company's data processing practices and policies.</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the Company processes and transmits payment card information, the Company is subject to card brand operating rules (“Card Rules”) requiring it to comply with the Payment Card Industry (“PCI”) Data Security Standard (the “Standard”). The Standard is a comprehensive set of requirements relating to payment account data security. The Company’s failure to comply with Card Rules or the Standard may result in fines or restrictions on, or loss of, its ability to accept payment cards. Under certain circumstances specified in the Card Rules, the Company may be required to submit to periodic audits, self-assessments or other assessments of its compliance with the Standard. The results of any audit, self-assessment or other test may require the Company to undertake remediation efforts, which may be costly or result in periods of time during which the Company cannot accept payment cards. Further, changes in technology and processing procedures may result in changes in the Card Rules that require the Company to make significant investments in its operating systems and technology that may adversely impact its business and results of operations.</w:t>
      </w:r>
    </w:p>
    <w:p>
      <w:pPr>
        <w:spacing w:after="0" w:line="13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Company’s operations are subject to environmental and workplace safety laws and regulations, and costs or claims related to these requirements could adversely affect the Company’s business.</w:t>
      </w:r>
    </w:p>
    <w:p>
      <w:pPr>
        <w:spacing w:after="0" w:line="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operations are subject to various federal, state and local laws and regulations relating to the protection of the environment, including those governing the discharge of pollutants, the management and disposal of hazardous materials and wastes, employee exposure to workplace hazards, and the investigation and remediation of contamination resulting from releases of hazardous materials. Failure to comply with legal requirements could result in, among other things, revocation of required licenses, enforcement actions, fines and civil and criminal liability. Various third parties have brought, and in the future could bring actions against the Company alleging health-related or other harm arising from non-compliance. The Company may incur investigation, remediation or other costs related to releases of hazardous materials or other environmental conditions at its currently or formerly owned or operated properties, regardless of whether such environmental conditions were created by the Company or a third-party. The Company has incurred, and continues to incur, costs to address soil and groundwater contamination at some locations. If such issues become more expensive to address, or if new issues arise, they could increase the Company’s expenses, generate negative publicity, or otherwise adversely affect the Company.</w:t>
      </w:r>
    </w:p>
    <w:p>
      <w:pPr>
        <w:spacing w:after="0" w:line="13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The disruption, expense and potential liability associated with existing and future litigation against the Company could adversely affect its reputation, financial position or results of operations.</w:t>
      </w:r>
    </w:p>
    <w:p>
      <w:pPr>
        <w:spacing w:after="0" w:line="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may be named as a defendant lawsuits and regulatory actions. For example, regulatory actions, punitive class actions lawsuits and individual lawsuits have been filed against the Company alleging claims relating to property damage, remediation and human health effects, among other claims, arising from the Company’s operations, including its handling, storage, treatment, transportation and/or disposal of waste. These claims are discussed in more detail in Note 17 to the Company's Consolidated Financial Statements. Due to the inherent uncertainties of litigation and regulatory proceedings, the Company cannot accurately predict the ultimate outcome of any such proceedings. An unfavorable outcome could have an adverse impact on the Company’s business, results of operations and financial position. In addition, the Company may have to devote substantial resources and executive time to the defense of such proceedings.</w:t>
      </w:r>
    </w:p>
    <w:p>
      <w:pPr>
        <w:spacing w:after="0" w:line="13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Provisions of Delaware law and the Company’s certificate of incorporation and bylaws could prevent or delay a change in control or change in management that could be beneficial to the Company’s stockholders.</w:t>
      </w:r>
    </w:p>
    <w:p>
      <w:pPr>
        <w:spacing w:after="0" w:line="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Provisions of the Delaware General Corporation Law and the Company’s certificate of incorporation and bylaws could discourage, delay or prevent a merger, acquisition or other change in control of the Company that might benefit the Company's stockholders. These provisions are intended to provide the Company’s Board of Directors with continuity and to encourage negotiations between the Company’s Board and any potential acquirer. Such provisions include a classified Board of Directors under which one-third of the directors stand for election each year. These provisions could also discourage proxy contests and make it more difficult for stockholders to replace the majority of the Company's directors and take other corporate actions that may be beneficial to the Company’s stockholders.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9" w:name="page20"/>
    <w:bookmarkEnd w:id="19"/>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9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maintains a cybersecurity program guided by the ISO 27001 information security standard for information security management systems that is reasonably designed to protect its information, and that of its customers, against cybersecurity threats that may result in material adverse effects on the confidentiality, integrity, and availability of its information systems.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Cybersecurity Team and Governance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of Directors</w:t>
      </w:r>
    </w:p>
    <w:p>
      <w:pPr>
        <w:spacing w:after="0" w:line="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Board, in coordination with the Audit Committee, oversees the Company’s enterprise risk management process, including the management of risks arising from cybersecurity threats. The Board has delegated the primary responsibility to oversee cybersecurity matters to the Audit Committee. The Audit Committee regularly reviews the measures implemented by the Company to identify and mitigate data protection and cybersecurity risks. As part of such reviews, the Audit Committee receives quarterly reports and presentations from members of the Company’s team responsible for overseeing the Company’s cybersecurity risk management, including the Chief Information Security Officer (CISO), Chief Information Officer (CIO), and members of the legal team, which address a wide range of topics including recent developments, evolving standards, vulnerability assessments, third-party and independent reviews, the threat environment, technological trends and information security considerations arising with respect to the Company’s peers and third parties. The other members of the Board attend these quarterly reports and presentations to the Audit Committee by members of management. The Company has protocols by which certain cybersecurity incidents that meet established reporting thresholds are escalated to management and, where appropriate, reported promptly to the Board and Audit Committee, as well as ongoing updates regarding any such incident until it has been addressed.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management level, the CISO, who has extensive cybersecurity knowledge and skills gained from over 16 years of work experience at the Company and elsewhere, heads the cross-functional team responsible for implementing, monitoring, and maintaining cybersecurity and data protection practices across the business and reports directly to the CIO, who reports directly to the Chief Executive Officer. The CISO receives reports on cybersecurity threats from a number of experienced information security team members, each of whom is responsible for various parts of the business on an ongoing basis and, in conjunction with management, regularly reviews risk management measures implemented by the Company to identify and mitigate data protection and cybersecurity risks. The CISO collaborates closely with the legal team to oversee compliance with legal, regulatory and contractual security requirements.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Internal Cybersecurity Team</w:t>
      </w:r>
    </w:p>
    <w:p>
      <w:pPr>
        <w:spacing w:after="0" w:line="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Internal Cybersecurity Team, led by the CISO, is responsible for the implementation, monitoring, and maintenance of the cybersecurity and data protection practices across the Company. The CISO is supported by experienced information security team members, each of whom is supported by a team of trained cybersecurity professionals. The individuals who report directly to the CISO include the Director of Cyber Security, who oversees the cybersecurity engineers, security operations center, and identity &amp; access management team, and the Privacy and Compliance Manager, who oversees the global privacy and compliance analysts.</w:t>
      </w:r>
    </w:p>
    <w:p>
      <w:pPr>
        <w:spacing w:after="0" w:line="1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to internal cybersecurity capabilities, the Company also at times engages consultants or specialists to assist with assessing, identifying, and managing cybersecurity risks.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employs systems and processes designed to oversee, identify, and reduce the potential impact of a security incident at a third-party vendor, service provider or customer or otherwise implicating the third-party technology and systems the Company uses.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maintains a Privacy Policy that describes the personal information that it collects about its customers, including how the Company may use such information and when it shares such information with third parties.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conducts annual cyber-risk mitigation exercises including awareness outreach, annual IT Security Awareness training, periodic phishing simulations, and a variety of ongoing vulnerability scans. Over the past two years, the Company has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implemented multiple new security tools designed to provide visibility and controls allowing the cybersecurity team to safeguard data against theft or loss.</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maintains various role-based access controls to safeguard data and systems. Data center assets are protected and monitored by badged key systems and video surveillance. Access is periodically reviewed and updated.</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measures its security posture through several third-party score-based cybersecurity tools. Scores from these tools are reviewed weekly and measure the Company's posture regarding securing applications, infrastructure, data and other assets from theft or loss, both internally and externally. Thresholds are in place for escalation to management.</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maintains cybersecurity insurance coverage to help defray any financial losses suffered by the Company in the event of an information security breach. The Company's insurance coverage may not cover all cybersecurity incidents the Company experiences or all losses the Company incurs as a result.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Incident Response</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adopted an Incident Response Plan (the “IRP”) that provides a standardized framework for responding to security incidents. The IRP sets out a coordinated approach to investigating, containing, documenting and mitigating incidents, including reporting findings and keeping senior management and other key stakeholders informed and involved as appropriate. The IRP applies to all Company personnel (including third-party contractors, vendors and partners) that perform functions or services that require access to secure Company information, and to all devices and network services that are owned or managed by the Company.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Cybersecurity Risks, Threats &amp; Incidents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relies on information technology and third-party vendors to support its operations, including its secure processing of personal, confidential, sensitive, proprietary and other types of information. The Company and its vendors may not be able to protect all of their respective information systems, and such incidents may lead to reputational harm, revenue and client loss, legal actions, statutory penalties, among other consequences. Risks from cybersecurity threats, including as a result of any previous cybersecurity incidents, have not materially affected the Company, including its business strategy, results of operations or financial condition. While the Company has not experienced any material cybersecurity incidents, there can be no guarantee that it will not be the subject of future successful attacks, threats or incidents.</w:t>
      </w:r>
    </w:p>
    <w:p>
      <w:pPr>
        <w:spacing w:after="0" w:line="18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operates its domestic administration, sales and marketing operations primarily from an owned facility of approximately 307,000 square feet in Rockford, Michigan; a leased facility of approximately 117,000 square feet in Rockford, Michigan; a leased facility of approximately 11,000 square feet in Boston, Massachusetts and a leased facility of approximately 32,000 square feet in the United Kingdom. The Company operates its distribution operations primarily through a leased distribution facility of approximately 720,000 square feet in Beaumont, California; a leased distribution center of approximately 468,000 square feet in Howard City, Michigan; a leased distribution center of approximately 215,000 square feet in Ontario, Canada and a leased distribution center of approximately 125,000 square feet in Heerhugowaard, Netherlands.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also leases offices, showrooms and other facilities throughout the U.S., Canada, the United Kingdom, continental Europe, Hong Kong and China to meet its operational requirements. In addition, the Company operates 119 retail stores primarily through leases with various third-party landlords in the U.S., United Kingdom, and Italy that collectively occupy approximately 260,000 square feet. The Company believes that its current facilities are suitable and adequate to meet its current needs.</w:t>
      </w:r>
    </w:p>
    <w:p>
      <w:pPr>
        <w:spacing w:after="0" w:line="17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involved in litigation and various legal matters arising in the normal course of business, including certain environmental compliance activities. For a discussion of legal matters, see Note 17 to the Company's Consolidated Financial Statements.</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860" w:val="left"/>
        </w:tabs>
        <w:rPr>
          <w:sz w:val="20"/>
          <w:szCs w:val="20"/>
          <w:color w:val="auto"/>
        </w:rPr>
      </w:pPr>
      <w:r>
        <w:rPr>
          <w:rFonts w:ascii="Times New Roman" w:cs="Times New Roman" w:eastAsia="Times New Roman" w:hAnsi="Times New Roman"/>
          <w:sz w:val="18"/>
          <w:szCs w:val="18"/>
          <w:b w:val="1"/>
          <w:bCs w:val="1"/>
          <w:color w:val="auto"/>
        </w:rPr>
        <w:t>Supplemental Item.</w:t>
      </w:r>
      <w:r>
        <w:rPr>
          <w:sz w:val="20"/>
          <w:szCs w:val="20"/>
          <w:color w:val="auto"/>
        </w:rPr>
        <w:tab/>
      </w:r>
      <w:r>
        <w:rPr>
          <w:rFonts w:ascii="Times New Roman" w:cs="Times New Roman" w:eastAsia="Times New Roman" w:hAnsi="Times New Roman"/>
          <w:sz w:val="17"/>
          <w:szCs w:val="17"/>
          <w:b w:val="1"/>
          <w:bCs w:val="1"/>
          <w:color w:val="auto"/>
        </w:rPr>
        <w:t>Information about our Executive Officers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lists the names and ages of the Executive Officers of the Company and their positions held with the Company as of January 31, 2025. The information provided below the table lists the business experience of each such</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1" w:name="page22"/>
    <w:bookmarkEnd w:id="2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Executive Officer for at least the past five years. All Executive Officers serve at the pleasure of the Board of Directors of the Company, or, if not appointed by the Board of Directors, at the pleasure of management.</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6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Positions held with the Company</w:t>
            </w:r>
          </w:p>
        </w:tc>
      </w:tr>
      <w:tr>
        <w:trPr>
          <w:trHeight w:val="23"/>
        </w:trPr>
        <w:tc>
          <w:tcPr>
            <w:tcW w:w="3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0" w:type="dxa"/>
            <w:vAlign w:val="bottom"/>
            <w:tcBorders>
              <w:bottom w:val="single" w:sz="8" w:color="auto"/>
            </w:tcBorders>
          </w:tcPr>
          <w:p>
            <w:pPr>
              <w:spacing w:after="0"/>
              <w:rPr>
                <w:sz w:val="2"/>
                <w:szCs w:val="2"/>
                <w:color w:val="auto"/>
              </w:rPr>
            </w:pPr>
          </w:p>
        </w:tc>
      </w:tr>
      <w:tr>
        <w:trPr>
          <w:trHeight w:val="22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Christopher E. Hufnagel</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20" w:type="dxa"/>
            <w:vAlign w:val="bottom"/>
            <w:shd w:val="clear" w:color="auto" w:fill="CCEEFF"/>
          </w:tcPr>
          <w:p>
            <w:pPr>
              <w:spacing w:after="0"/>
              <w:rPr>
                <w:sz w:val="19"/>
                <w:szCs w:val="19"/>
                <w:color w:val="auto"/>
              </w:rPr>
            </w:pPr>
          </w:p>
        </w:tc>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29"/>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Amy M. Klimek</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120" w:type="dxa"/>
            <w:vAlign w:val="bottom"/>
          </w:tcPr>
          <w:p>
            <w:pPr>
              <w:spacing w:after="0"/>
              <w:rPr>
                <w:sz w:val="19"/>
                <w:szCs w:val="19"/>
                <w:color w:val="auto"/>
              </w:rPr>
            </w:pPr>
          </w:p>
        </w:tc>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Human Resources Officer</w:t>
            </w:r>
          </w:p>
        </w:tc>
      </w:tr>
      <w:tr>
        <w:trPr>
          <w:trHeight w:val="230"/>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Susan J. Kuhn</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120" w:type="dxa"/>
            <w:vAlign w:val="bottom"/>
            <w:shd w:val="clear" w:color="auto" w:fill="CCEEFF"/>
          </w:tcPr>
          <w:p>
            <w:pPr>
              <w:spacing w:after="0"/>
              <w:rPr>
                <w:sz w:val="19"/>
                <w:szCs w:val="19"/>
                <w:color w:val="auto"/>
              </w:rPr>
            </w:pPr>
          </w:p>
        </w:tc>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Active Group</w:t>
            </w:r>
          </w:p>
        </w:tc>
      </w:tr>
      <w:tr>
        <w:trPr>
          <w:trHeight w:val="229"/>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A. Latchana</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120" w:type="dxa"/>
            <w:vAlign w:val="bottom"/>
          </w:tcPr>
          <w:p>
            <w:pPr>
              <w:spacing w:after="0"/>
              <w:rPr>
                <w:sz w:val="19"/>
                <w:szCs w:val="19"/>
                <w:color w:val="auto"/>
              </w:rPr>
            </w:pPr>
          </w:p>
        </w:tc>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r>
        <w:trPr>
          <w:trHeight w:val="229"/>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Taryn L. Miller</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20" w:type="dxa"/>
            <w:vAlign w:val="bottom"/>
            <w:shd w:val="clear" w:color="auto" w:fill="CCEEFF"/>
          </w:tcPr>
          <w:p>
            <w:pPr>
              <w:spacing w:after="0"/>
              <w:rPr>
                <w:sz w:val="19"/>
                <w:szCs w:val="19"/>
                <w:color w:val="auto"/>
              </w:rPr>
            </w:pPr>
          </w:p>
        </w:tc>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Isabel Soriano</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120" w:type="dxa"/>
            <w:vAlign w:val="bottom"/>
          </w:tcPr>
          <w:p>
            <w:pPr>
              <w:spacing w:after="0"/>
              <w:rPr>
                <w:sz w:val="20"/>
                <w:szCs w:val="20"/>
                <w:color w:val="auto"/>
              </w:rPr>
            </w:pPr>
          </w:p>
        </w:tc>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International</w:t>
            </w:r>
          </w:p>
        </w:tc>
      </w:tr>
    </w:tbl>
    <w:p>
      <w:pPr>
        <w:spacing w:after="0" w:line="220"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 xml:space="preserve">Christopher E. Hufnagel has served the Company as Chief Executive Officer since August 2023, and as President since May 2023. From November 2022 through May 2023, he was the President, Active Group. From September 2019 through November 2022 he served as President of the </w:t>
      </w:r>
      <w:r>
        <w:rPr>
          <w:rFonts w:ascii="Times New Roman" w:cs="Times New Roman" w:eastAsia="Times New Roman" w:hAnsi="Times New Roman"/>
          <w:sz w:val="18"/>
          <w:szCs w:val="18"/>
          <w:i w:val="1"/>
          <w:iCs w:val="1"/>
          <w:color w:val="auto"/>
        </w:rPr>
        <w:t>Merrell</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brand. From July 2018 through September 2019, he served as President, </w:t>
      </w:r>
      <w:r>
        <w:rPr>
          <w:rFonts w:ascii="Times New Roman" w:cs="Times New Roman" w:eastAsia="Times New Roman" w:hAnsi="Times New Roman"/>
          <w:sz w:val="18"/>
          <w:szCs w:val="18"/>
          <w:i w:val="1"/>
          <w:iCs w:val="1"/>
          <w:color w:val="auto"/>
        </w:rPr>
        <w:t>Cat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Footwear. From January 2013 through July 2018, he served as Senior Vice President and Head of Corporate Strategy.</w:t>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Amy M. Klimek has served the Company as Chief Human Resources Officer since January 2024, and Executive Vice President, Global Human Resources since May 2016. From October 2014 to May 2016, she served as Vice President of Human Resources.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Susan J. Kuhn has served the Company as President, Active Group since October 2024. From January 2020 through April 2023, she was the President and General Manager for Europe, Middle East and Africa for Foot Locker BV, a subsidiary of Foot Locker, Inc., a footwear and apparel retailer.</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David A. Latchana has served the Company as Chief Legal Officer and Secretary since April 2024, and served as Vice President, Interim General Counsel and Secretary from January 2024 through April 2024. From September 2021 through January 2024, he served as Vice President, Executive Compensation, Benefits and Communications. From February 2015 to September 2021 he served as Associate General Counsel and Assistant Secretary.</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Taryn Miller has served the Company as Chief Financial Officer and Treasurer since May 2024. From October 2022 through October 2023, she was the Vice President, Corporate and Commercial Finance for Corteva Inc., a publicly traded agricultural chemical and seed company. From April 2017 through October 2022, she was the Chief Financial Officer, Global Business Units, Enterprise FP&amp;A and Investor Relations for Kimberly-Clark Corporation, a publicly traded consumer goods and personal care company.</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Isabel Soriano has served the Company as President, International since June 2021. From June 2018 to May 2021, she served as Vice President and Managing Director of EMEA. From April 2014 to June 2018, she served as Vice President and General Manager for Vans, Timberland and Kipling in South America at VF Corporation, a publicly traded footwear and apparel retailer.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common stock is traded on the New York Stock Exchange under the symbol “WWW.” The number of stockholders of record on February 7, 2025, was 629.</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quarterly dividend of $0.10 per share was declared on February 5, 2025. The Company currently expects that comparable cash dividends will be paid in future quarters in fiscal 2025.</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graph compares the five-year cumulative total stockholder return on the Company’s common stock to the S&amp;P Composite 1500 Index and the S&amp;P Composite1500 Consumer Durables &amp; Apparel Index, assuming an investment of $100 at the beginning of the period indicated and reinvestment of dividends. The Company is part of both the S&amp;P 1500 Index and the S&amp;P 1500 Consumer Durables &amp; Apparel Index. This Stock Performance Graph shall not be deemed to be incorporated by reference into the Company’s SEC filings and shall not constitute soliciting material or otherwise be considered filed under the Securities Act of 1933, as amended, or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Five-Year Cumulative Total Return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131445</wp:posOffset>
            </wp:positionV>
            <wp:extent cx="5709285" cy="34290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09285"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the Company’s purchases of its own common stock during the fourth quarter of fiscal 2024.</w:t>
      </w:r>
    </w:p>
    <w:p>
      <w:pPr>
        <w:spacing w:after="0" w:line="2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40" w:type="dxa"/>
            <w:vAlign w:val="bottom"/>
          </w:tcPr>
          <w:p>
            <w:pPr>
              <w:spacing w:after="0"/>
              <w:rPr>
                <w:sz w:val="13"/>
                <w:szCs w:val="13"/>
                <w:color w:val="auto"/>
              </w:rPr>
            </w:pPr>
          </w:p>
        </w:tc>
        <w:tc>
          <w:tcPr>
            <w:tcW w:w="15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Maximum Dollar</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4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60" w:type="dxa"/>
            <w:vAlign w:val="bottom"/>
          </w:tcPr>
          <w:p>
            <w:pPr>
              <w:spacing w:after="0"/>
              <w:rPr>
                <w:sz w:val="12"/>
                <w:szCs w:val="12"/>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7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64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Amount that May Yet Be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7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140" w:type="dxa"/>
            <w:vAlign w:val="bottom"/>
          </w:tcPr>
          <w:p>
            <w:pPr>
              <w:spacing w:after="0"/>
              <w:rPr>
                <w:sz w:val="12"/>
                <w:szCs w:val="12"/>
                <w:color w:val="auto"/>
              </w:rPr>
            </w:pPr>
          </w:p>
        </w:tc>
        <w:tc>
          <w:tcPr>
            <w:tcW w:w="150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60" w:type="dxa"/>
            <w:vAlign w:val="bottom"/>
            <w:gridSpan w:val="2"/>
            <w:vMerge w:val="continue"/>
          </w:tcPr>
          <w:p>
            <w:pPr>
              <w:spacing w:after="0"/>
              <w:rPr>
                <w:sz w:val="12"/>
                <w:szCs w:val="12"/>
                <w:color w:val="auto"/>
              </w:rPr>
            </w:pPr>
          </w:p>
        </w:tc>
        <w:tc>
          <w:tcPr>
            <w:tcW w:w="144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Paid per Share</w:t>
            </w:r>
          </w:p>
        </w:tc>
        <w:tc>
          <w:tcPr>
            <w:tcW w:w="172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Plans or Programs</w:t>
            </w:r>
          </w:p>
        </w:tc>
        <w:tc>
          <w:tcPr>
            <w:tcW w:w="140" w:type="dxa"/>
            <w:vAlign w:val="bottom"/>
          </w:tcPr>
          <w:p>
            <w:pPr>
              <w:spacing w:after="0"/>
              <w:rPr>
                <w:sz w:val="12"/>
                <w:szCs w:val="12"/>
                <w:color w:val="auto"/>
              </w:rPr>
            </w:pPr>
          </w:p>
        </w:tc>
        <w:tc>
          <w:tcPr>
            <w:tcW w:w="1500" w:type="dxa"/>
            <w:vAlign w:val="bottom"/>
          </w:tcPr>
          <w:p>
            <w:pPr>
              <w:jc w:val="center"/>
              <w:ind w:right="58"/>
              <w:spacing w:after="0" w:line="129" w:lineRule="exact"/>
              <w:rPr>
                <w:sz w:val="20"/>
                <w:szCs w:val="20"/>
                <w:color w:val="auto"/>
              </w:rPr>
            </w:pPr>
            <w:r>
              <w:rPr>
                <w:rFonts w:ascii="Times New Roman" w:cs="Times New Roman" w:eastAsia="Times New Roman" w:hAnsi="Times New Roman"/>
                <w:sz w:val="14"/>
                <w:szCs w:val="14"/>
                <w:b w:val="1"/>
                <w:bCs w:val="1"/>
                <w:color w:val="auto"/>
              </w:rPr>
              <w:t>Plans or Programs</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420" w:type="dxa"/>
            <w:vAlign w:val="bottom"/>
            <w:tcBorders>
              <w:top w:val="single" w:sz="8" w:color="auto"/>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 10 (September 29, 2024 to November 2, 2024)</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60" w:type="dxa"/>
            <w:vAlign w:val="bottom"/>
            <w:gridSpan w:val="2"/>
          </w:tcPr>
          <w:p>
            <w:pPr>
              <w:ind w:left="380"/>
              <w:spacing w:after="0" w:line="230" w:lineRule="exact"/>
              <w:rPr>
                <w:sz w:val="20"/>
                <w:szCs w:val="20"/>
                <w:color w:val="auto"/>
              </w:rPr>
            </w:pPr>
            <w:r>
              <w:rPr>
                <w:rFonts w:ascii="Times New Roman" w:cs="Times New Roman" w:eastAsia="Times New Roman" w:hAnsi="Times New Roman"/>
                <w:sz w:val="18"/>
                <w:szCs w:val="18"/>
                <w:color w:val="auto"/>
              </w:rPr>
              <w:t xml:space="preserve">Common Stock Repurchase Program </w:t>
            </w:r>
            <w:r>
              <w:rPr>
                <w:rFonts w:ascii="Times New Roman" w:cs="Times New Roman" w:eastAsia="Times New Roman" w:hAnsi="Times New Roman"/>
                <w:sz w:val="23"/>
                <w:szCs w:val="23"/>
                <w:color w:val="auto"/>
                <w:vertAlign w:val="superscript"/>
              </w:rPr>
              <w:t>(1)</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150,000,000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60" w:type="dxa"/>
            <w:vAlign w:val="bottom"/>
            <w:gridSpan w:val="2"/>
            <w:shd w:val="clear" w:color="auto" w:fill="CCEEFF"/>
          </w:tcPr>
          <w:p>
            <w:pPr>
              <w:ind w:left="380"/>
              <w:spacing w:after="0" w:line="230" w:lineRule="exact"/>
              <w:rPr>
                <w:sz w:val="20"/>
                <w:szCs w:val="20"/>
                <w:color w:val="auto"/>
              </w:rPr>
            </w:pPr>
            <w:r>
              <w:rPr>
                <w:rFonts w:ascii="Times New Roman" w:cs="Times New Roman" w:eastAsia="Times New Roman" w:hAnsi="Times New Roman"/>
                <w:sz w:val="18"/>
                <w:szCs w:val="18"/>
                <w:color w:val="auto"/>
              </w:rPr>
              <w:t xml:space="preserve">Employee Transactions </w:t>
            </w:r>
            <w:r>
              <w:rPr>
                <w:rFonts w:ascii="Times New Roman" w:cs="Times New Roman" w:eastAsia="Times New Roman" w:hAnsi="Times New Roman"/>
                <w:sz w:val="23"/>
                <w:szCs w:val="23"/>
                <w:color w:val="auto"/>
                <w:vertAlign w:val="superscript"/>
              </w:rPr>
              <w:t>(2)</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Period 11 (November 3, 2024 to November 30, 2024)</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60" w:type="dxa"/>
            <w:vAlign w:val="bottom"/>
            <w:gridSpan w:val="2"/>
            <w:shd w:val="clear" w:color="auto" w:fill="CCEEFF"/>
          </w:tcPr>
          <w:p>
            <w:pPr>
              <w:ind w:left="380"/>
              <w:spacing w:after="0" w:line="230" w:lineRule="exact"/>
              <w:rPr>
                <w:sz w:val="20"/>
                <w:szCs w:val="20"/>
                <w:color w:val="auto"/>
              </w:rPr>
            </w:pPr>
            <w:r>
              <w:rPr>
                <w:rFonts w:ascii="Times New Roman" w:cs="Times New Roman" w:eastAsia="Times New Roman" w:hAnsi="Times New Roman"/>
                <w:sz w:val="18"/>
                <w:szCs w:val="18"/>
                <w:color w:val="auto"/>
              </w:rPr>
              <w:t xml:space="preserve">Common Stock Repurchase Program </w:t>
            </w:r>
            <w:r>
              <w:rPr>
                <w:rFonts w:ascii="Times New Roman" w:cs="Times New Roman" w:eastAsia="Times New Roman" w:hAnsi="Times New Roman"/>
                <w:sz w:val="23"/>
                <w:szCs w:val="23"/>
                <w:color w:val="auto"/>
                <w:vertAlign w:val="superscript"/>
              </w:rPr>
              <w:t>(1)</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150,000,000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60" w:type="dxa"/>
            <w:vAlign w:val="bottom"/>
            <w:gridSpan w:val="2"/>
          </w:tcPr>
          <w:p>
            <w:pPr>
              <w:ind w:left="380"/>
              <w:spacing w:after="0" w:line="230" w:lineRule="exact"/>
              <w:rPr>
                <w:sz w:val="20"/>
                <w:szCs w:val="20"/>
                <w:color w:val="auto"/>
              </w:rPr>
            </w:pPr>
            <w:r>
              <w:rPr>
                <w:rFonts w:ascii="Times New Roman" w:cs="Times New Roman" w:eastAsia="Times New Roman" w:hAnsi="Times New Roman"/>
                <w:sz w:val="18"/>
                <w:szCs w:val="18"/>
                <w:color w:val="auto"/>
              </w:rPr>
              <w:t xml:space="preserve">Employee Transactions </w:t>
            </w:r>
            <w:r>
              <w:rPr>
                <w:rFonts w:ascii="Times New Roman" w:cs="Times New Roman" w:eastAsia="Times New Roman" w:hAnsi="Times New Roman"/>
                <w:sz w:val="23"/>
                <w:szCs w:val="23"/>
                <w:color w:val="auto"/>
                <w:vertAlign w:val="superscript"/>
              </w:rPr>
              <w:t>(2)</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23.40</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 12 (December 1, 2024 to December 28, 2024)</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gridSpan w:val="2"/>
          </w:tcPr>
          <w:p>
            <w:pPr>
              <w:ind w:left="380"/>
              <w:spacing w:after="0" w:line="230" w:lineRule="exact"/>
              <w:rPr>
                <w:sz w:val="20"/>
                <w:szCs w:val="20"/>
                <w:color w:val="auto"/>
              </w:rPr>
            </w:pPr>
            <w:r>
              <w:rPr>
                <w:rFonts w:ascii="Times New Roman" w:cs="Times New Roman" w:eastAsia="Times New Roman" w:hAnsi="Times New Roman"/>
                <w:sz w:val="18"/>
                <w:szCs w:val="18"/>
                <w:color w:val="auto"/>
              </w:rPr>
              <w:t xml:space="preserve">Common Stock Repurchase Program </w:t>
            </w:r>
            <w:r>
              <w:rPr>
                <w:rFonts w:ascii="Times New Roman" w:cs="Times New Roman" w:eastAsia="Times New Roman" w:hAnsi="Times New Roman"/>
                <w:sz w:val="23"/>
                <w:szCs w:val="23"/>
                <w:color w:val="auto"/>
                <w:vertAlign w:val="superscript"/>
              </w:rPr>
              <w:t>(1)</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150,000,000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60" w:type="dxa"/>
            <w:vAlign w:val="bottom"/>
            <w:gridSpan w:val="2"/>
            <w:shd w:val="clear" w:color="auto" w:fill="CCEEFF"/>
          </w:tcPr>
          <w:p>
            <w:pPr>
              <w:ind w:left="380"/>
              <w:spacing w:after="0" w:line="230" w:lineRule="exact"/>
              <w:rPr>
                <w:sz w:val="20"/>
                <w:szCs w:val="20"/>
                <w:color w:val="auto"/>
              </w:rPr>
            </w:pPr>
            <w:r>
              <w:rPr>
                <w:rFonts w:ascii="Times New Roman" w:cs="Times New Roman" w:eastAsia="Times New Roman" w:hAnsi="Times New Roman"/>
                <w:sz w:val="18"/>
                <w:szCs w:val="18"/>
                <w:color w:val="auto"/>
              </w:rPr>
              <w:t xml:space="preserve">Employee Transactions </w:t>
            </w:r>
            <w:r>
              <w:rPr>
                <w:rFonts w:ascii="Times New Roman" w:cs="Times New Roman" w:eastAsia="Times New Roman" w:hAnsi="Times New Roman"/>
                <w:sz w:val="23"/>
                <w:szCs w:val="23"/>
                <w:color w:val="auto"/>
                <w:vertAlign w:val="superscript"/>
              </w:rPr>
              <w:t>(2)</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for the Fourth Quarter Ended December 28, 2024</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60" w:type="dxa"/>
            <w:vAlign w:val="bottom"/>
            <w:gridSpan w:val="2"/>
            <w:shd w:val="clear" w:color="auto" w:fill="CCEEFF"/>
          </w:tcPr>
          <w:p>
            <w:pPr>
              <w:ind w:left="380"/>
              <w:spacing w:after="0" w:line="230" w:lineRule="exact"/>
              <w:rPr>
                <w:sz w:val="20"/>
                <w:szCs w:val="20"/>
                <w:color w:val="auto"/>
              </w:rPr>
            </w:pPr>
            <w:r>
              <w:rPr>
                <w:rFonts w:ascii="Times New Roman" w:cs="Times New Roman" w:eastAsia="Times New Roman" w:hAnsi="Times New Roman"/>
                <w:sz w:val="18"/>
                <w:szCs w:val="18"/>
                <w:color w:val="auto"/>
              </w:rPr>
              <w:t xml:space="preserve">Common Stock Repurchase Program </w:t>
            </w:r>
            <w:r>
              <w:rPr>
                <w:rFonts w:ascii="Times New Roman" w:cs="Times New Roman" w:eastAsia="Times New Roman" w:hAnsi="Times New Roman"/>
                <w:sz w:val="23"/>
                <w:szCs w:val="23"/>
                <w:color w:val="auto"/>
                <w:vertAlign w:val="superscript"/>
              </w:rPr>
              <w:t>(1)</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150,000,000</w:t>
            </w: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49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xml:space="preserve">Employee Transactions </w:t>
            </w:r>
            <w:r>
              <w:rPr>
                <w:rFonts w:ascii="Times New Roman" w:cs="Times New Roman" w:eastAsia="Times New Roman" w:hAnsi="Times New Roman"/>
                <w:sz w:val="23"/>
                <w:szCs w:val="23"/>
                <w:color w:val="auto"/>
                <w:vertAlign w:val="superscript"/>
              </w:rPr>
              <w:t>(2)</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42,414</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340" w:right="20" w:hanging="332"/>
        <w:spacing w:after="0" w:line="222" w:lineRule="auto"/>
        <w:tabs>
          <w:tab w:leader="none" w:pos="328"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On March 7, 2024, the Company’s Board of Directors approved a common stock repurchase program that authorized the repurchase of $150.0 million of common stock over a three-year period. Since that date, the Company has not repurchased any common stock.</w:t>
      </w:r>
    </w:p>
    <w:p>
      <w:pPr>
        <w:spacing w:after="0" w:line="76" w:lineRule="exact"/>
        <w:rPr>
          <w:rFonts w:ascii="Times New Roman" w:cs="Times New Roman" w:eastAsia="Times New Roman" w:hAnsi="Times New Roman"/>
          <w:sz w:val="23"/>
          <w:szCs w:val="23"/>
          <w:color w:val="auto"/>
          <w:vertAlign w:val="superscript"/>
        </w:rPr>
      </w:pPr>
    </w:p>
    <w:p>
      <w:pPr>
        <w:jc w:val="both"/>
        <w:ind w:left="340" w:hanging="332"/>
        <w:spacing w:after="0" w:line="239" w:lineRule="auto"/>
        <w:tabs>
          <w:tab w:leader="none" w:pos="328"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Employee transactions include: (1) shares delivered or attested to in satisfaction of the exercise price and/or tax withholding obligations by holders of employee stock options who exercised options, and (2) restricted shares and units withheld to offset statutory minimum tax withholding that occurs upon vesting of restricted shares and units. The Company’s employee stock compensation plans provide that the shares delivered or attested to, or withheld, shall be valued at the closing price of the Company’s common stock on the date the relevant transaction occurs.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3" w:name="page24"/>
    <w:bookmarkEnd w:id="23"/>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a leading global designer, marketer and licensor of branded footwear, apparel and accessories. The Company’s strategic vision is to build and grow high-energy footwear, apparel and accessories brands that inspire and empower consumers to explore and enjoy their active lives. The Company seeks to fulfill this vision by offering innovative products and compelling brand propositions; complementing its footwear brands with strong apparel and accessories offerings; expanding its global direct-to-consumer footprint; and delivering supply chain excellence.</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brands are marketed in approximately 170 countries and territories at December 28, 2024, including through owned operations in the U.S., Canada, the United Kingdom and certain countries in continental Europe and Asia Pacific. In other regions (Latin America, portions of Europe and Asia Pacific, the Middle East and Africa), the Company relies on a network of third-party distributors, licensees and joint ventures. At December 28, 2024, the Company operated 119 retail stores in the U.S., United Kingdom, and Italy and 39 direct-to-consumer eCommerce sites.</w:t>
      </w:r>
    </w:p>
    <w:p>
      <w:pPr>
        <w:spacing w:after="0" w:line="120"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 xml:space="preserve">Effective May 4, 2024, the Company entered into global multi-year licensing agreements of </w:t>
      </w:r>
      <w:r>
        <w:rPr>
          <w:rFonts w:ascii="Times New Roman" w:cs="Times New Roman" w:eastAsia="Times New Roman" w:hAnsi="Times New Roman"/>
          <w:sz w:val="18"/>
          <w:szCs w:val="18"/>
          <w:i w:val="1"/>
          <w:iCs w:val="1"/>
          <w:color w:val="auto"/>
        </w:rPr>
        <w:t>Merrell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Saucony</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kids footwear and </w:t>
      </w:r>
      <w:r>
        <w:rPr>
          <w:rFonts w:ascii="Times New Roman" w:cs="Times New Roman" w:eastAsia="Times New Roman" w:hAnsi="Times New Roman"/>
          <w:sz w:val="18"/>
          <w:szCs w:val="18"/>
          <w:i w:val="1"/>
          <w:iCs w:val="1"/>
          <w:color w:val="auto"/>
        </w:rPr>
        <w:t>Merrell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apparel and accessories.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Effective January 10, 2024, the Company completed the sale of the </w:t>
      </w:r>
      <w:r>
        <w:rPr>
          <w:rFonts w:ascii="Times New Roman" w:cs="Times New Roman" w:eastAsia="Times New Roman" w:hAnsi="Times New Roman"/>
          <w:sz w:val="18"/>
          <w:szCs w:val="18"/>
          <w:i w:val="1"/>
          <w:iCs w:val="1"/>
          <w:color w:val="auto"/>
        </w:rPr>
        <w:t>Sperry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business.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Effective January 1, 2024, the Company completed the sale of the Company’s equity interests in the </w:t>
      </w:r>
      <w:r>
        <w:rPr>
          <w:rFonts w:ascii="Times New Roman" w:cs="Times New Roman" w:eastAsia="Times New Roman" w:hAnsi="Times New Roman"/>
          <w:sz w:val="18"/>
          <w:szCs w:val="18"/>
          <w:i w:val="1"/>
          <w:iCs w:val="1"/>
          <w:color w:val="auto"/>
        </w:rPr>
        <w:t>Merrell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Saucony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China joint venture entities.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Effective August 23, 2023, the Company completed the sale of the U.S. Leathers business and effective December 28, 2023, the Company completed the sale of the Asia-based Leathers business.</w:t>
      </w:r>
    </w:p>
    <w:p>
      <w:pPr>
        <w:spacing w:after="0" w:line="102"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8"/>
          <w:szCs w:val="18"/>
          <w:color w:val="auto"/>
        </w:rPr>
        <w:t xml:space="preserve">In the third quarter of fiscal 2023, the Company entered into a multi-year licensing agreement of the </w:t>
      </w:r>
      <w:r>
        <w:rPr>
          <w:rFonts w:ascii="Times New Roman" w:cs="Times New Roman" w:eastAsia="Times New Roman" w:hAnsi="Times New Roman"/>
          <w:sz w:val="18"/>
          <w:szCs w:val="18"/>
          <w:i w:val="1"/>
          <w:iCs w:val="1"/>
          <w:color w:val="auto"/>
        </w:rPr>
        <w:t>Hush Puppies</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brand in the United States and Canada. In addition, the Company completed the sale of the </w:t>
      </w:r>
      <w:r>
        <w:rPr>
          <w:rFonts w:ascii="Times New Roman" w:cs="Times New Roman" w:eastAsia="Times New Roman" w:hAnsi="Times New Roman"/>
          <w:sz w:val="18"/>
          <w:szCs w:val="18"/>
          <w:i w:val="1"/>
          <w:iCs w:val="1"/>
          <w:color w:val="auto"/>
        </w:rPr>
        <w:t>Hush Puppies</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trademarks, patents, copyrights, and domains in China, Hong Kong, and Macau. The Company continues to own the </w:t>
      </w:r>
      <w:r>
        <w:rPr>
          <w:rFonts w:ascii="Times New Roman" w:cs="Times New Roman" w:eastAsia="Times New Roman" w:hAnsi="Times New Roman"/>
          <w:sz w:val="18"/>
          <w:szCs w:val="18"/>
          <w:i w:val="1"/>
          <w:iCs w:val="1"/>
          <w:color w:val="auto"/>
        </w:rPr>
        <w:t>Hush Puppies</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brand throughout the rest of the world.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Effective February 4, 2023, the Company completed the sale of the </w:t>
      </w:r>
      <w:r>
        <w:rPr>
          <w:rFonts w:ascii="Times New Roman" w:cs="Times New Roman" w:eastAsia="Times New Roman" w:hAnsi="Times New Roman"/>
          <w:sz w:val="18"/>
          <w:szCs w:val="18"/>
          <w:i w:val="1"/>
          <w:iCs w:val="1"/>
          <w:color w:val="auto"/>
        </w:rPr>
        <w:t>Keds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business.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discussion includes a comparison of the Company's results of operations and liquidity and capital resources for fiscal 2024 and 2023. A discussion of a comparison of the Company's results of operations and liquidity and capital resources for fiscal 2023 and 2022 has been omitted from this Form 10-K but may be found in Item 7. Management's Discussion and Analysis of Financial Condition and Results of Operations of our Annual Report on Form 10-K for the fiscal year ended December 30, 2023, filed with the SEC on February 22,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FINANCIAL OVERVIEW</w:t>
      </w:r>
    </w:p>
    <w:p>
      <w:pPr>
        <w:spacing w:after="0" w:line="108" w:lineRule="exact"/>
        <w:rPr>
          <w:sz w:val="20"/>
          <w:szCs w:val="20"/>
          <w:color w:val="auto"/>
        </w:rPr>
      </w:pPr>
    </w:p>
    <w:p>
      <w:pPr>
        <w:ind w:left="480" w:hanging="310"/>
        <w:spacing w:after="0"/>
        <w:tabs>
          <w:tab w:leader="none" w:pos="480" w:val="left"/>
        </w:tabs>
        <w:numPr>
          <w:ilvl w:val="0"/>
          <w:numId w:val="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Revenue was $1,755.0 million for 2024, representing a decrease of 21.8% compared to the prior year's revenue of $2,242.9 million.</w:t>
      </w:r>
    </w:p>
    <w:p>
      <w:pPr>
        <w:spacing w:after="0" w:line="63" w:lineRule="exact"/>
        <w:rPr>
          <w:rFonts w:ascii="Times New Roman" w:cs="Times New Roman" w:eastAsia="Times New Roman" w:hAnsi="Times New Roman"/>
          <w:sz w:val="18"/>
          <w:szCs w:val="18"/>
          <w:b w:val="1"/>
          <w:bCs w:val="1"/>
          <w:i w:val="1"/>
          <w:iCs w:val="1"/>
          <w:color w:val="auto"/>
        </w:rPr>
      </w:pPr>
    </w:p>
    <w:p>
      <w:pPr>
        <w:ind w:left="480" w:hanging="310"/>
        <w:spacing w:after="0"/>
        <w:tabs>
          <w:tab w:leader="none" w:pos="4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Gross margin for 2024 was 44.5%, compared to 38.9% in 2023.</w:t>
      </w:r>
    </w:p>
    <w:p>
      <w:pPr>
        <w:spacing w:after="0" w:line="63" w:lineRule="exact"/>
        <w:rPr>
          <w:rFonts w:ascii="Times New Roman" w:cs="Times New Roman" w:eastAsia="Times New Roman" w:hAnsi="Times New Roman"/>
          <w:sz w:val="18"/>
          <w:szCs w:val="18"/>
          <w:b w:val="1"/>
          <w:bCs w:val="1"/>
          <w:color w:val="auto"/>
        </w:rPr>
      </w:pPr>
    </w:p>
    <w:p>
      <w:pPr>
        <w:ind w:left="480" w:hanging="310"/>
        <w:spacing w:after="0"/>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tax rate in 2024 was 16.3%, compared to 70.7% in 2023.</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share in 2024 was $0.58, compared to diluted loss per share of $0.51 in 2023.</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declared cash dividends of $0.40 per share in 2024 and 2023.</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provided by operating activities was $180.1 million in 2024 and $121.8 million in 2023.</w:t>
      </w:r>
    </w:p>
    <w:p>
      <w:pPr>
        <w:spacing w:after="0" w:line="76"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5"/>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18"/>
          <w:szCs w:val="18"/>
          <w:color w:val="auto"/>
        </w:rPr>
        <w:t>Compared to the prior year, inventory decreased $133.0 million, or 35.6%, as of year-end.</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following is a discussion of the Company’s results of operations and liquidity and capital resources. This section should be read in conjunction with the Company’s consolidated financial statements and related notes, which are included in Item 8 of this Annual Report on Form 10-K.</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Fiscal Year</w:t>
            </w: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 except per share data)</w:t>
            </w: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ind w:right="391"/>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right"/>
              <w:ind w:right="392"/>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2"/>
                <w:szCs w:val="12"/>
                <w:color w:val="auto"/>
              </w:rPr>
            </w:pPr>
          </w:p>
        </w:tc>
        <w:tc>
          <w:tcPr>
            <w:tcW w:w="1400" w:type="dxa"/>
            <w:vAlign w:val="bottom"/>
          </w:tcPr>
          <w:p>
            <w:pPr>
              <w:jc w:val="right"/>
              <w:ind w:right="159"/>
              <w:spacing w:after="0" w:line="142" w:lineRule="exact"/>
              <w:rPr>
                <w:sz w:val="20"/>
                <w:szCs w:val="20"/>
                <w:color w:val="auto"/>
              </w:rPr>
            </w:pPr>
            <w:r>
              <w:rPr>
                <w:rFonts w:ascii="Times New Roman" w:cs="Times New Roman" w:eastAsia="Times New Roman" w:hAnsi="Times New Roman"/>
                <w:sz w:val="14"/>
                <w:szCs w:val="14"/>
                <w:color w:val="auto"/>
              </w:rPr>
              <w:t>Percent 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020" w:type="dxa"/>
            <w:vAlign w:val="bottom"/>
            <w:tcBorders>
              <w:top w:val="single" w:sz="8" w:color="auto"/>
              <w:bottom w:val="single" w:sz="8" w:color="CCEEFF"/>
            </w:tcBorders>
          </w:tcPr>
          <w:p>
            <w:pPr>
              <w:spacing w:after="0"/>
              <w:rPr>
                <w:sz w:val="2"/>
                <w:szCs w:val="2"/>
                <w:color w:val="auto"/>
              </w:rPr>
            </w:pPr>
          </w:p>
        </w:tc>
        <w:tc>
          <w:tcPr>
            <w:tcW w:w="5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2,242.9</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1,370.4</w:t>
            </w:r>
          </w:p>
        </w:tc>
        <w:tc>
          <w:tcPr>
            <w:tcW w:w="15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872.5</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856.2</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businesses, trademarks and long-lived assets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Environmental and other related costs (income), net of recoveries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profit (loss)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248.1 %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5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(loss) before income taxes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145.9 %</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5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110.6 %</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(loss)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231.4 %</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net earnings (loss) attributable to noncontrolling interests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5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800.0 %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(loss) attributable to Wolverine World Wide, Inc.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1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213.7 %</w:t>
            </w: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7120" w:type="dxa"/>
            <w:vAlign w:val="bottom"/>
            <w:gridSpan w:val="2"/>
            <w:vMerge w:val="continue"/>
          </w:tcPr>
          <w:p>
            <w:pPr>
              <w:spacing w:after="0"/>
              <w:rPr>
                <w:sz w:val="18"/>
                <w:szCs w:val="18"/>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5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08"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 xml:space="preserve">Revenue was $1,755.0 million for 2024, representing a decrease of 21.8% compared to the prior year's revenue of $2,242.9 million. The change in revenue reflected a $193.0 million, or 13.4%, decrease from the Active Group, a $25.3 million, or 5.3%, decrease from the Work Group and a $269.6 million, or 83.4%, decrease from Other. The Active Group's revenue decrease was driven by a decrease of $89.3 million from </w:t>
      </w:r>
      <w:r>
        <w:rPr>
          <w:rFonts w:ascii="Times New Roman" w:cs="Times New Roman" w:eastAsia="Times New Roman" w:hAnsi="Times New Roman"/>
          <w:sz w:val="18"/>
          <w:szCs w:val="18"/>
          <w:i w:val="1"/>
          <w:iCs w:val="1"/>
          <w:color w:val="auto"/>
        </w:rPr>
        <w:t>Saucony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$77.4 million from </w:t>
      </w:r>
      <w:r>
        <w:rPr>
          <w:rFonts w:ascii="Times New Roman" w:cs="Times New Roman" w:eastAsia="Times New Roman" w:hAnsi="Times New Roman"/>
          <w:sz w:val="18"/>
          <w:szCs w:val="18"/>
          <w:i w:val="1"/>
          <w:iCs w:val="1"/>
          <w:color w:val="auto"/>
        </w:rPr>
        <w:t>Merrell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$21.4 million from </w:t>
      </w:r>
      <w:r>
        <w:rPr>
          <w:rFonts w:ascii="Times New Roman" w:cs="Times New Roman" w:eastAsia="Times New Roman" w:hAnsi="Times New Roman"/>
          <w:sz w:val="18"/>
          <w:szCs w:val="18"/>
          <w:i w:val="1"/>
          <w:iCs w:val="1"/>
          <w:color w:val="auto"/>
        </w:rPr>
        <w:t>Chaco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$4.9 million from </w:t>
      </w:r>
      <w:r>
        <w:rPr>
          <w:rFonts w:ascii="Times New Roman" w:cs="Times New Roman" w:eastAsia="Times New Roman" w:hAnsi="Times New Roman"/>
          <w:sz w:val="18"/>
          <w:szCs w:val="18"/>
          <w:i w:val="1"/>
          <w:iCs w:val="1"/>
          <w:color w:val="auto"/>
        </w:rPr>
        <w:t>Sweaty Betty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The Work Group’s revenue decrease was driven primarily by a decrease of $9.0 million from </w:t>
      </w:r>
      <w:r>
        <w:rPr>
          <w:rFonts w:ascii="Times New Roman" w:cs="Times New Roman" w:eastAsia="Times New Roman" w:hAnsi="Times New Roman"/>
          <w:sz w:val="18"/>
          <w:szCs w:val="18"/>
          <w:i w:val="1"/>
          <w:iCs w:val="1"/>
          <w:color w:val="auto"/>
        </w:rPr>
        <w:t>Cat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$8.1 million from </w:t>
      </w:r>
      <w:r>
        <w:rPr>
          <w:rFonts w:ascii="Times New Roman" w:cs="Times New Roman" w:eastAsia="Times New Roman" w:hAnsi="Times New Roman"/>
          <w:sz w:val="18"/>
          <w:szCs w:val="18"/>
          <w:i w:val="1"/>
          <w:iCs w:val="1"/>
          <w:color w:val="auto"/>
        </w:rPr>
        <w:t>Wolverine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$3.3 million from </w:t>
      </w:r>
      <w:r>
        <w:rPr>
          <w:rFonts w:ascii="Times New Roman" w:cs="Times New Roman" w:eastAsia="Times New Roman" w:hAnsi="Times New Roman"/>
          <w:sz w:val="18"/>
          <w:szCs w:val="18"/>
          <w:i w:val="1"/>
          <w:iCs w:val="1"/>
          <w:color w:val="auto"/>
        </w:rPr>
        <w:t>Bates</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$2.6 million from </w:t>
      </w:r>
      <w:r>
        <w:rPr>
          <w:rFonts w:ascii="Times New Roman" w:cs="Times New Roman" w:eastAsia="Times New Roman" w:hAnsi="Times New Roman"/>
          <w:sz w:val="18"/>
          <w:szCs w:val="18"/>
          <w:i w:val="1"/>
          <w:iCs w:val="1"/>
          <w:color w:val="auto"/>
        </w:rPr>
        <w:t>Harley-Davidson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$2.3 million from </w:t>
      </w:r>
      <w:r>
        <w:rPr>
          <w:rFonts w:ascii="Times New Roman" w:cs="Times New Roman" w:eastAsia="Times New Roman" w:hAnsi="Times New Roman"/>
          <w:sz w:val="18"/>
          <w:szCs w:val="18"/>
          <w:i w:val="1"/>
          <w:iCs w:val="1"/>
          <w:color w:val="auto"/>
        </w:rPr>
        <w:t>HYTEST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decrease in Other revenue was primarily driven by a decrease in revenue from businesses that were sold in 2023 and 2024 and the licensing of the </w:t>
      </w:r>
      <w:r>
        <w:rPr>
          <w:rFonts w:ascii="Times New Roman" w:cs="Times New Roman" w:eastAsia="Times New Roman" w:hAnsi="Times New Roman"/>
          <w:sz w:val="18"/>
          <w:szCs w:val="18"/>
          <w:i w:val="1"/>
          <w:iCs w:val="1"/>
          <w:color w:val="auto"/>
        </w:rPr>
        <w:t>Hush Puppies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business in 2023, which includes decreases of $191.9 million from </w:t>
      </w:r>
      <w:r>
        <w:rPr>
          <w:rFonts w:ascii="Times New Roman" w:cs="Times New Roman" w:eastAsia="Times New Roman" w:hAnsi="Times New Roman"/>
          <w:sz w:val="18"/>
          <w:szCs w:val="18"/>
          <w:i w:val="1"/>
          <w:iCs w:val="1"/>
          <w:color w:val="auto"/>
        </w:rPr>
        <w:t>Sperry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$37.0 million from the performance leathers business, $25.7 million from </w:t>
      </w:r>
      <w:r>
        <w:rPr>
          <w:rFonts w:ascii="Times New Roman" w:cs="Times New Roman" w:eastAsia="Times New Roman" w:hAnsi="Times New Roman"/>
          <w:sz w:val="18"/>
          <w:szCs w:val="18"/>
          <w:i w:val="1"/>
          <w:iCs w:val="1"/>
          <w:color w:val="auto"/>
        </w:rPr>
        <w:t>Hush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Puppies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$6.5 million from</w:t>
      </w:r>
      <w:r>
        <w:rPr>
          <w:rFonts w:ascii="Times New Roman" w:cs="Times New Roman" w:eastAsia="Times New Roman" w:hAnsi="Times New Roman"/>
          <w:sz w:val="18"/>
          <w:szCs w:val="18"/>
          <w:i w:val="1"/>
          <w:iCs w:val="1"/>
          <w:color w:val="auto"/>
        </w:rPr>
        <w:t xml:space="preserve"> Keds</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International revenue represented 49.1%, and 45.7% of total reported revenues in 2024 and 2023, respectively.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foreign exchange rates increased revenue by $2.8 million during 2024. Direct-to-consumer revenue decreased by $98.5 million, or 16.9% during 2024 compared to 2023.</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MARGIN</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2024, the Company’s gross margin was 44.5%, compared to 38.9% in 2023. The gross margin increase was primarily driven by less end-of-life inventory sales, lower supply chain costs and lower product costs.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Operating expenses decreased $260.2 million in 2024, to $680.5 million. The decrease was primarily driven by lower impairment of long-lived assets ($176.3 million), lower general and administrative costs ($48.8 million), lower selling costs ($45.2 million), lower advertising costs ($28.9 million), lower distribution costs ($25.5 million), lower reorganization costs ($18.0 million), and lower product development costs ($7.8 million), partially offset by lower gains on the sale of businesses, trademarks, and long-lived assets ($81.8 million), higher incentive compensation costs ($12.9 million) and lower environmental and other related costs, net of recoveries ($0.1 million). Environmental and other related costs were $15.6 million and $8.4 million in 2024 and 2023, respectively. See Note 17 to the Company's Consolidated Financial Statements for further discussion of environmental remediation costs.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INTEREST, OTHER AND TAXES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Net interest expense was $42.7 million in 2024 compared to $63.5 million in 2023. Interest expense decreased in the current year due to lower average principal balances of variable rate debt and lower weighted average interest rates on variable rate debt.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was $3.3 million in 2024 compared to other expense of $2.5 million in 2023.</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effective tax rate in 2024 was 16.3%, compared to 70.7% in 2023. In 2023 the Company recognized more tax benefits compared to 2024 primarily related to the generation and utilization of a capital loss.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portfolio of brands is organized into the following reportable segments.</w:t>
      </w:r>
    </w:p>
    <w:p>
      <w:pPr>
        <w:spacing w:after="0" w:line="59" w:lineRule="exact"/>
        <w:rPr>
          <w:sz w:val="20"/>
          <w:szCs w:val="20"/>
          <w:color w:val="auto"/>
        </w:rPr>
      </w:pPr>
    </w:p>
    <w:p>
      <w:pPr>
        <w:ind w:left="640" w:hanging="308"/>
        <w:spacing w:after="0"/>
        <w:tabs>
          <w:tab w:leader="none" w:pos="640" w:val="left"/>
        </w:tabs>
        <w:numPr>
          <w:ilvl w:val="0"/>
          <w:numId w:val="1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b w:val="1"/>
          <w:bCs w:val="1"/>
          <w:color w:val="auto"/>
        </w:rPr>
        <w:t xml:space="preserve">Active Group, </w:t>
      </w:r>
      <w:r>
        <w:rPr>
          <w:rFonts w:ascii="Times New Roman" w:cs="Times New Roman" w:eastAsia="Times New Roman" w:hAnsi="Times New Roman"/>
          <w:sz w:val="17"/>
          <w:szCs w:val="17"/>
          <w:color w:val="auto"/>
        </w:rPr>
        <w:t>consisting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Merrell</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footwear and apparel,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Saucony</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footwear and apparel,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Sweaty Betty</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activewear,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Chaco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footwear; and</w:t>
      </w:r>
    </w:p>
    <w:p>
      <w:pPr>
        <w:spacing w:after="0" w:line="54" w:lineRule="exact"/>
        <w:rPr>
          <w:rFonts w:ascii="Times New Roman" w:cs="Times New Roman" w:eastAsia="Times New Roman" w:hAnsi="Times New Roman"/>
          <w:sz w:val="16"/>
          <w:szCs w:val="16"/>
          <w:b w:val="1"/>
          <w:bCs w:val="1"/>
          <w:color w:val="auto"/>
        </w:rPr>
      </w:pPr>
    </w:p>
    <w:p>
      <w:pPr>
        <w:ind w:left="660" w:right="20" w:hanging="328"/>
        <w:spacing w:after="0" w:line="226" w:lineRule="auto"/>
        <w:tabs>
          <w:tab w:leader="none" w:pos="652" w:val="left"/>
        </w:tabs>
        <w:numPr>
          <w:ilvl w:val="0"/>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 xml:space="preserve">Work Group, </w:t>
      </w:r>
      <w:r>
        <w:rPr>
          <w:rFonts w:ascii="Times New Roman" w:cs="Times New Roman" w:eastAsia="Times New Roman" w:hAnsi="Times New Roman"/>
          <w:sz w:val="18"/>
          <w:szCs w:val="18"/>
          <w:color w:val="auto"/>
        </w:rPr>
        <w:t>consisting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Wolverine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footwear and apparel,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Cat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footwear,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Bates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uniform footwear,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Harley-Davidson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footwear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HYTEST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safety footwear;</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Kids' footwear offerings from </w:t>
      </w:r>
      <w:r>
        <w:rPr>
          <w:rFonts w:ascii="Times New Roman" w:cs="Times New Roman" w:eastAsia="Times New Roman" w:hAnsi="Times New Roman"/>
          <w:sz w:val="18"/>
          <w:szCs w:val="18"/>
          <w:i w:val="1"/>
          <w:iCs w:val="1"/>
          <w:color w:val="auto"/>
        </w:rPr>
        <w:t>Saucony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Sperry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Keds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Merrell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Hush Puppies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Cat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are included with the applicable brand.</w:t>
      </w:r>
    </w:p>
    <w:p>
      <w:pPr>
        <w:spacing w:after="0" w:line="114"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 xml:space="preserve">The Company also reports “Other” and “Corporate” categories. The Other category consists of </w:t>
      </w:r>
      <w:r>
        <w:rPr>
          <w:rFonts w:ascii="Times New Roman" w:cs="Times New Roman" w:eastAsia="Times New Roman" w:hAnsi="Times New Roman"/>
          <w:sz w:val="18"/>
          <w:szCs w:val="18"/>
          <w:i w:val="1"/>
          <w:iCs w:val="1"/>
          <w:color w:val="auto"/>
        </w:rPr>
        <w:t>Hush Puppies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footwear, sourcing operations that include third-party commission revenues, multi-branded direct-to-consumer retail stores, the </w:t>
      </w:r>
      <w:r>
        <w:rPr>
          <w:rFonts w:ascii="Times New Roman" w:cs="Times New Roman" w:eastAsia="Times New Roman" w:hAnsi="Times New Roman"/>
          <w:sz w:val="18"/>
          <w:szCs w:val="18"/>
          <w:i w:val="1"/>
          <w:iCs w:val="1"/>
          <w:color w:val="auto"/>
        </w:rPr>
        <w:t>Stride Rite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licensed business, </w:t>
      </w:r>
      <w:r>
        <w:rPr>
          <w:rFonts w:ascii="Times New Roman" w:cs="Times New Roman" w:eastAsia="Times New Roman" w:hAnsi="Times New Roman"/>
          <w:sz w:val="18"/>
          <w:szCs w:val="18"/>
          <w:i w:val="1"/>
          <w:iCs w:val="1"/>
          <w:color w:val="auto"/>
        </w:rPr>
        <w:t>Sperry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footwear, </w:t>
      </w:r>
      <w:r>
        <w:rPr>
          <w:rFonts w:ascii="Times New Roman" w:cs="Times New Roman" w:eastAsia="Times New Roman" w:hAnsi="Times New Roman"/>
          <w:sz w:val="18"/>
          <w:szCs w:val="18"/>
          <w:i w:val="1"/>
          <w:iCs w:val="1"/>
          <w:color w:val="auto"/>
        </w:rPr>
        <w:t>Keds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footwear, and apparel and the Company’s leather marketing operations,. The Corporate category consists of gains on the sale of businesses and trademarks, unallocated corporate expenses, such as corporate employee costs, corporate facility costs, reorganization activities, impairment of long-lived assets and environmental and other related costs.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reportable segment results for years 2024 and 2023 are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Fiscal Year</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right"/>
              <w:ind w:right="392"/>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ind w:right="393"/>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jc w:val="right"/>
              <w:ind w:right="312"/>
              <w:spacing w:after="0" w:line="142" w:lineRule="exact"/>
              <w:rPr>
                <w:sz w:val="20"/>
                <w:szCs w:val="20"/>
                <w:color w:val="auto"/>
              </w:rPr>
            </w:pPr>
            <w:r>
              <w:rPr>
                <w:rFonts w:ascii="Times New Roman" w:cs="Times New Roman" w:eastAsia="Times New Roman" w:hAnsi="Times New Roman"/>
                <w:sz w:val="14"/>
                <w:szCs w:val="14"/>
                <w:color w:val="auto"/>
              </w:rPr>
              <w:t>Change</w:t>
            </w:r>
          </w:p>
        </w:tc>
        <w:tc>
          <w:tcPr>
            <w:tcW w:w="100" w:type="dxa"/>
            <w:vAlign w:val="bottom"/>
          </w:tcPr>
          <w:p>
            <w:pPr>
              <w:spacing w:after="0"/>
              <w:rPr>
                <w:sz w:val="12"/>
                <w:szCs w:val="12"/>
                <w:color w:val="auto"/>
              </w:rPr>
            </w:pPr>
          </w:p>
        </w:tc>
        <w:tc>
          <w:tcPr>
            <w:tcW w:w="1400" w:type="dxa"/>
            <w:vAlign w:val="bottom"/>
          </w:tcPr>
          <w:p>
            <w:pPr>
              <w:jc w:val="right"/>
              <w:ind w:right="159"/>
              <w:spacing w:after="0" w:line="142" w:lineRule="exact"/>
              <w:rPr>
                <w:sz w:val="20"/>
                <w:szCs w:val="20"/>
                <w:color w:val="auto"/>
              </w:rPr>
            </w:pPr>
            <w:r>
              <w:rPr>
                <w:rFonts w:ascii="Times New Roman" w:cs="Times New Roman" w:eastAsia="Times New Roman" w:hAnsi="Times New Roman"/>
                <w:sz w:val="14"/>
                <w:szCs w:val="14"/>
                <w:color w:val="auto"/>
              </w:rPr>
              <w:t>Percent 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5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Active Group</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1,439.1</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 Group</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(269.6)</w:t>
            </w:r>
          </w:p>
        </w:tc>
        <w:tc>
          <w:tcPr>
            <w:tcW w:w="15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7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(487.9)</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7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PROFIT (LOSS)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57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Active Group</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 Group</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Corporate</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38.4 %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7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5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60"/>
        <w:spacing w:after="0" w:line="399" w:lineRule="auto"/>
        <w:rPr>
          <w:sz w:val="20"/>
          <w:szCs w:val="20"/>
          <w:color w:val="auto"/>
        </w:rPr>
      </w:pPr>
      <w:r>
        <w:rPr>
          <w:rFonts w:ascii="Times New Roman" w:cs="Times New Roman" w:eastAsia="Times New Roman" w:hAnsi="Times New Roman"/>
          <w:sz w:val="18"/>
          <w:szCs w:val="18"/>
          <w:color w:val="auto"/>
        </w:rPr>
        <w:t xml:space="preserve">Further information regarding the reportable segments can be found in Note 18 to the Company's Consolidated Financial Statements. </w:t>
      </w:r>
      <w:r>
        <w:rPr>
          <w:rFonts w:ascii="Times New Roman" w:cs="Times New Roman" w:eastAsia="Times New Roman" w:hAnsi="Times New Roman"/>
          <w:sz w:val="18"/>
          <w:szCs w:val="18"/>
          <w:b w:val="1"/>
          <w:bCs w:val="1"/>
          <w:color w:val="auto"/>
        </w:rPr>
        <w:t>Active Group</w:t>
      </w:r>
    </w:p>
    <w:p>
      <w:pPr>
        <w:jc w:val="both"/>
        <w:spacing w:after="0" w:line="219" w:lineRule="auto"/>
        <w:rPr>
          <w:sz w:val="20"/>
          <w:szCs w:val="20"/>
          <w:color w:val="auto"/>
        </w:rPr>
      </w:pPr>
      <w:r>
        <w:rPr>
          <w:rFonts w:ascii="Times New Roman" w:cs="Times New Roman" w:eastAsia="Times New Roman" w:hAnsi="Times New Roman"/>
          <w:sz w:val="18"/>
          <w:szCs w:val="18"/>
          <w:color w:val="auto"/>
        </w:rPr>
        <w:t xml:space="preserve">The Active Group’s revenue decreased $193.0 million, or 13.4%, in 2024 compared to 2023. The revenue decrease was driven by a decrease of $89.3 million from </w:t>
      </w:r>
      <w:r>
        <w:rPr>
          <w:rFonts w:ascii="Times New Roman" w:cs="Times New Roman" w:eastAsia="Times New Roman" w:hAnsi="Times New Roman"/>
          <w:sz w:val="18"/>
          <w:szCs w:val="18"/>
          <w:i w:val="1"/>
          <w:iCs w:val="1"/>
          <w:color w:val="auto"/>
        </w:rPr>
        <w:t>Saucony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$77.4 million from </w:t>
      </w:r>
      <w:r>
        <w:rPr>
          <w:rFonts w:ascii="Times New Roman" w:cs="Times New Roman" w:eastAsia="Times New Roman" w:hAnsi="Times New Roman"/>
          <w:sz w:val="18"/>
          <w:szCs w:val="18"/>
          <w:i w:val="1"/>
          <w:iCs w:val="1"/>
          <w:color w:val="auto"/>
        </w:rPr>
        <w:t>Merrell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$21.4 million from </w:t>
      </w:r>
      <w:r>
        <w:rPr>
          <w:rFonts w:ascii="Times New Roman" w:cs="Times New Roman" w:eastAsia="Times New Roman" w:hAnsi="Times New Roman"/>
          <w:sz w:val="18"/>
          <w:szCs w:val="18"/>
          <w:i w:val="1"/>
          <w:iCs w:val="1"/>
          <w:color w:val="auto"/>
        </w:rPr>
        <w:t>Chaco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$4.9 million from </w:t>
      </w:r>
      <w:r>
        <w:rPr>
          <w:rFonts w:ascii="Times New Roman" w:cs="Times New Roman" w:eastAsia="Times New Roman" w:hAnsi="Times New Roman"/>
          <w:sz w:val="18"/>
          <w:szCs w:val="18"/>
          <w:i w:val="1"/>
          <w:iCs w:val="1"/>
          <w:color w:val="auto"/>
        </w:rPr>
        <w:t>Sweaty Betty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Saucony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decrease was primarily due to lower end of life inventory sales compared to the prior year, the divestiture of the Company's equity interest in the China joint venture entity, effective January 1, 2024, and lower </w:t>
      </w:r>
      <w:r>
        <w:rPr>
          <w:rFonts w:ascii="Times New Roman" w:cs="Times New Roman" w:eastAsia="Times New Roman" w:hAnsi="Times New Roman"/>
          <w:sz w:val="18"/>
          <w:szCs w:val="18"/>
          <w:i w:val="1"/>
          <w:iCs w:val="1"/>
          <w:color w:val="auto"/>
        </w:rPr>
        <w:t>Saucony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kids revenue resulting from licensing the brand in the United States and Canada starting in the second quarter of 2024. The </w:t>
      </w:r>
      <w:r>
        <w:rPr>
          <w:rFonts w:ascii="Times New Roman" w:cs="Times New Roman" w:eastAsia="Times New Roman" w:hAnsi="Times New Roman"/>
          <w:sz w:val="18"/>
          <w:szCs w:val="18"/>
          <w:i w:val="1"/>
          <w:iCs w:val="1"/>
          <w:color w:val="auto"/>
        </w:rPr>
        <w:t>Merrell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decrease was primarily due to lower end of life inventory sales compared to the prior year, softer consumer demand in the U.S. wholesale and International channels and lower </w:t>
      </w:r>
      <w:r>
        <w:rPr>
          <w:rFonts w:ascii="Times New Roman" w:cs="Times New Roman" w:eastAsia="Times New Roman" w:hAnsi="Times New Roman"/>
          <w:sz w:val="18"/>
          <w:szCs w:val="18"/>
          <w:i w:val="1"/>
          <w:iCs w:val="1"/>
          <w:color w:val="auto"/>
        </w:rPr>
        <w:t>Merrell</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kids revenue resulting from licensing the brand in the United States and Canada starting in the second quarter of 2024, partially offset by growth from new products, including Moab Speed and Speed Strike, and growth in core brand franchises, including Moab 3 and Jungle Moc. The </w:t>
      </w:r>
      <w:r>
        <w:rPr>
          <w:rFonts w:ascii="Times New Roman" w:cs="Times New Roman" w:eastAsia="Times New Roman" w:hAnsi="Times New Roman"/>
          <w:sz w:val="18"/>
          <w:szCs w:val="18"/>
          <w:i w:val="1"/>
          <w:iCs w:val="1"/>
          <w:color w:val="auto"/>
        </w:rPr>
        <w:t>Chaco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decrease was primarily due to lower closeout and end of life inventory sales compared to the prior year and softer consumer demand. The </w:t>
      </w:r>
      <w:r>
        <w:rPr>
          <w:rFonts w:ascii="Times New Roman" w:cs="Times New Roman" w:eastAsia="Times New Roman" w:hAnsi="Times New Roman"/>
          <w:sz w:val="18"/>
          <w:szCs w:val="18"/>
          <w:i w:val="1"/>
          <w:iCs w:val="1"/>
          <w:color w:val="auto"/>
        </w:rPr>
        <w:t>Sweaty</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6" w:name="page27"/>
    <w:bookmarkEnd w:id="26"/>
    <w:p>
      <w:pPr>
        <w:jc w:val="both"/>
        <w:spacing w:after="0" w:line="230" w:lineRule="auto"/>
        <w:rPr>
          <w:sz w:val="20"/>
          <w:szCs w:val="20"/>
          <w:color w:val="auto"/>
        </w:rPr>
      </w:pPr>
      <w:r>
        <w:rPr>
          <w:rFonts w:ascii="Times New Roman" w:cs="Times New Roman" w:eastAsia="Times New Roman" w:hAnsi="Times New Roman"/>
          <w:sz w:val="18"/>
          <w:szCs w:val="18"/>
          <w:i w:val="1"/>
          <w:iCs w:val="1"/>
          <w:color w:val="auto"/>
        </w:rPr>
        <w:t>Betty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was primarily due to softer consumer demand in direct-to-consumer and wholesale sales channels across the U.S. and China markets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lower end of life inventory sales compared to the prior year.</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Active Group’s operating profit increased $44.6 million, or 31.8%, in 2024 compared to 2023. The operating profit increase was due to a 520 basis point increase in gross margin and a $58.9 million decrease in selling, general and administrative costs partially offset by revenue decreases. The increase in gross margin in the current year period was primarily due to decreased closeout sales, lower product costs, and lower supply chain costs. The decrease in selling, general and administrative expenses in 2024 is primarily due to lower advertising costs, selling expenses, distribution costs, and employee costs.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 Group</w:t>
      </w:r>
    </w:p>
    <w:p>
      <w:pPr>
        <w:spacing w:after="0" w:line="108"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 xml:space="preserve">The Work Group’s revenue decreased $25.3 million, or 5.3%, in 2024 compared to 2023. The revenue decrease was primarily driven by a decrease of $9.0 million from </w:t>
      </w:r>
      <w:r>
        <w:rPr>
          <w:rFonts w:ascii="Times New Roman" w:cs="Times New Roman" w:eastAsia="Times New Roman" w:hAnsi="Times New Roman"/>
          <w:sz w:val="18"/>
          <w:szCs w:val="18"/>
          <w:i w:val="1"/>
          <w:iCs w:val="1"/>
          <w:color w:val="auto"/>
        </w:rPr>
        <w:t>Cat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$8.1 million from </w:t>
      </w:r>
      <w:r>
        <w:rPr>
          <w:rFonts w:ascii="Times New Roman" w:cs="Times New Roman" w:eastAsia="Times New Roman" w:hAnsi="Times New Roman"/>
          <w:sz w:val="18"/>
          <w:szCs w:val="18"/>
          <w:i w:val="1"/>
          <w:iCs w:val="1"/>
          <w:color w:val="auto"/>
        </w:rPr>
        <w:t>Wolverine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$3.3 million from </w:t>
      </w:r>
      <w:r>
        <w:rPr>
          <w:rFonts w:ascii="Times New Roman" w:cs="Times New Roman" w:eastAsia="Times New Roman" w:hAnsi="Times New Roman"/>
          <w:sz w:val="18"/>
          <w:szCs w:val="18"/>
          <w:i w:val="1"/>
          <w:iCs w:val="1"/>
          <w:color w:val="auto"/>
        </w:rPr>
        <w:t>Bates</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$2.6 million from </w:t>
      </w:r>
      <w:r>
        <w:rPr>
          <w:rFonts w:ascii="Times New Roman" w:cs="Times New Roman" w:eastAsia="Times New Roman" w:hAnsi="Times New Roman"/>
          <w:sz w:val="18"/>
          <w:szCs w:val="18"/>
          <w:i w:val="1"/>
          <w:iCs w:val="1"/>
          <w:color w:val="auto"/>
        </w:rPr>
        <w:t>Harley-Davidson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$2.3 million from </w:t>
      </w:r>
      <w:r>
        <w:rPr>
          <w:rFonts w:ascii="Times New Roman" w:cs="Times New Roman" w:eastAsia="Times New Roman" w:hAnsi="Times New Roman"/>
          <w:sz w:val="18"/>
          <w:szCs w:val="18"/>
          <w:i w:val="1"/>
          <w:iCs w:val="1"/>
          <w:color w:val="auto"/>
        </w:rPr>
        <w:t>HYTEST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Cat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was primarily due to timing of shipments in the U.S. and international channels, lower closeout sales versus the prior year and softer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consumer demand in direct-to-consumer channels, partially offset by growth in the U.S. wholesale channel. The </w:t>
      </w:r>
      <w:r>
        <w:rPr>
          <w:rFonts w:ascii="Times New Roman" w:cs="Times New Roman" w:eastAsia="Times New Roman" w:hAnsi="Times New Roman"/>
          <w:sz w:val="18"/>
          <w:szCs w:val="18"/>
          <w:i w:val="1"/>
          <w:iCs w:val="1"/>
          <w:color w:val="auto"/>
        </w:rPr>
        <w:t>Wolverine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decrease was primarily due to lower closeout sales compared to the prior year. The </w:t>
      </w:r>
      <w:r>
        <w:rPr>
          <w:rFonts w:ascii="Times New Roman" w:cs="Times New Roman" w:eastAsia="Times New Roman" w:hAnsi="Times New Roman"/>
          <w:sz w:val="18"/>
          <w:szCs w:val="18"/>
          <w:i w:val="1"/>
          <w:iCs w:val="1"/>
          <w:color w:val="auto"/>
        </w:rPr>
        <w:t>Bates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decrease was primarily due to softer consumer demand in the U.S. direct-to-consumer channels, high inventory levels at certain retail customers and lower closeout sales versus the prior year. The </w:t>
      </w:r>
      <w:r>
        <w:rPr>
          <w:rFonts w:ascii="Times New Roman" w:cs="Times New Roman" w:eastAsia="Times New Roman" w:hAnsi="Times New Roman"/>
          <w:sz w:val="18"/>
          <w:szCs w:val="18"/>
          <w:i w:val="1"/>
          <w:iCs w:val="1"/>
          <w:color w:val="auto"/>
        </w:rPr>
        <w:t>Harley-Davidson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decrease was primarily due to declines in top dealer accounts. The </w:t>
      </w:r>
      <w:r>
        <w:rPr>
          <w:rFonts w:ascii="Times New Roman" w:cs="Times New Roman" w:eastAsia="Times New Roman" w:hAnsi="Times New Roman"/>
          <w:sz w:val="18"/>
          <w:szCs w:val="18"/>
          <w:i w:val="1"/>
          <w:iCs w:val="1"/>
          <w:color w:val="auto"/>
        </w:rPr>
        <w:t>HYTEST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decrease was primarily due to lower closeout sales compared to the prior year, partially offset by growth in the U.S. wholesale channel.</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Work Group’s operating profit increased $11.1 million, or 19.1%, in 2024 compared to 2023. The operating profit increase was due to a 180 basis point increase in gross margin and an $11.1 million decrease in selling, general and administrative costs partially offset by revenue decreases. The increase in gross margin in the current year was due to decreased closeout sales, lower product cost and favorable average selling price. The decrease in selling, general and administrative expenses in 2024 was primarily due to lower advertising costs, selling expenses, and employee costs.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94"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8"/>
          <w:szCs w:val="18"/>
          <w:color w:val="auto"/>
        </w:rPr>
        <w:t xml:space="preserve">Other revenue decreased $269.6 million, or 83.4%, in 2024 compared to 2023. The revenue decline was primarily driven by a decrease of $191.9 million from </w:t>
      </w:r>
      <w:r>
        <w:rPr>
          <w:rFonts w:ascii="Times New Roman" w:cs="Times New Roman" w:eastAsia="Times New Roman" w:hAnsi="Times New Roman"/>
          <w:sz w:val="18"/>
          <w:szCs w:val="18"/>
          <w:i w:val="1"/>
          <w:iCs w:val="1"/>
          <w:color w:val="auto"/>
        </w:rPr>
        <w:t>Sperry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$37.0 million from the performance leathers business, $25.7 million from </w:t>
      </w:r>
      <w:r>
        <w:rPr>
          <w:rFonts w:ascii="Times New Roman" w:cs="Times New Roman" w:eastAsia="Times New Roman" w:hAnsi="Times New Roman"/>
          <w:sz w:val="18"/>
          <w:szCs w:val="18"/>
          <w:i w:val="1"/>
          <w:iCs w:val="1"/>
          <w:color w:val="auto"/>
        </w:rPr>
        <w:t>Hush Puppies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$6.5 million from </w:t>
      </w:r>
      <w:r>
        <w:rPr>
          <w:rFonts w:ascii="Times New Roman" w:cs="Times New Roman" w:eastAsia="Times New Roman" w:hAnsi="Times New Roman"/>
          <w:sz w:val="18"/>
          <w:szCs w:val="18"/>
          <w:i w:val="1"/>
          <w:iCs w:val="1"/>
          <w:color w:val="auto"/>
        </w:rPr>
        <w:t>Keds</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Sperry</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decrease is due to the divestiture of the business effective January 10, 2024. The performance leathers business decrease is due to the divestiture of the U.S. leathers business, effective August 23, 2023 and the Asia-based leathers business, effective December 28, 2023. The </w:t>
      </w:r>
      <w:r>
        <w:rPr>
          <w:rFonts w:ascii="Times New Roman" w:cs="Times New Roman" w:eastAsia="Times New Roman" w:hAnsi="Times New Roman"/>
          <w:sz w:val="18"/>
          <w:szCs w:val="18"/>
          <w:i w:val="1"/>
          <w:iCs w:val="1"/>
          <w:color w:val="auto"/>
        </w:rPr>
        <w:t>Hush Puppies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decrease is due to the licensing of the brand in the United States and Canada starting in the third quarter of 2023. The </w:t>
      </w:r>
      <w:r>
        <w:rPr>
          <w:rFonts w:ascii="Times New Roman" w:cs="Times New Roman" w:eastAsia="Times New Roman" w:hAnsi="Times New Roman"/>
          <w:sz w:val="18"/>
          <w:szCs w:val="18"/>
          <w:i w:val="1"/>
          <w:iCs w:val="1"/>
          <w:color w:val="auto"/>
        </w:rPr>
        <w:t>Keds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decrease is due to the divestiture of the business, effective February 4, 2023.</w:t>
      </w:r>
    </w:p>
    <w:p>
      <w:pPr>
        <w:spacing w:after="0" w:line="14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Other operating profit decreased $1.5 million, or 4.6%, in 2024 compared to 2023. The operating profit decrease was due to revenue decreases partially offset by a $90.0 million decrease in selling, general and administrative costs. The decrease in selling, general and administrative expenses in the current year period was primarily due to the divestiture of the </w:t>
      </w:r>
      <w:r>
        <w:rPr>
          <w:rFonts w:ascii="Times New Roman" w:cs="Times New Roman" w:eastAsia="Times New Roman" w:hAnsi="Times New Roman"/>
          <w:sz w:val="18"/>
          <w:szCs w:val="18"/>
          <w:i w:val="1"/>
          <w:iCs w:val="1"/>
          <w:color w:val="auto"/>
        </w:rPr>
        <w:t>Sperry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business, performance leathers business, and </w:t>
      </w:r>
      <w:r>
        <w:rPr>
          <w:rFonts w:ascii="Times New Roman" w:cs="Times New Roman" w:eastAsia="Times New Roman" w:hAnsi="Times New Roman"/>
          <w:sz w:val="18"/>
          <w:szCs w:val="18"/>
          <w:i w:val="1"/>
          <w:iCs w:val="1"/>
          <w:color w:val="auto"/>
        </w:rPr>
        <w:t>Keds</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business, along with the licensing of the </w:t>
      </w:r>
      <w:r>
        <w:rPr>
          <w:rFonts w:ascii="Times New Roman" w:cs="Times New Roman" w:eastAsia="Times New Roman" w:hAnsi="Times New Roman"/>
          <w:sz w:val="18"/>
          <w:szCs w:val="18"/>
          <w:i w:val="1"/>
          <w:iCs w:val="1"/>
          <w:color w:val="auto"/>
        </w:rPr>
        <w:t>Hush Puppies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Corporate expenses decreased $115.0 million in 2024 compared to 2023 primarily due to lower impairment of long-lived and intangible assets ($176.3 million), lower reorganization activities ($18.0 million) and lower employee costs ($5.3 million), partially offset by lower gains on sale of businesses, trademarks, and long-lived assets ($81.5 million), higher incentive compensation costs ($11.6 million) and higher environmental and other related costs ($0.1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color w:val="auto"/>
              </w:rPr>
              <w:t>Fiscal Year</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ind w:right="417"/>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jc w:val="right"/>
              <w:ind w:right="435"/>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7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 xml:space="preserve">Cash and cash equivalents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Available Revolving Facility </w:t>
            </w:r>
            <w:r>
              <w:rPr>
                <w:rFonts w:ascii="Times New Roman" w:cs="Times New Roman" w:eastAsia="Times New Roman" w:hAnsi="Times New Roman"/>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688.4</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40" w:hanging="332"/>
        <w:spacing w:after="0" w:line="229" w:lineRule="auto"/>
        <w:tabs>
          <w:tab w:leader="none" w:pos="328"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Cash and cash equivalents at the end of the year in the Consolidated Statements of Cash Flows includes $5.6 million of cash and cash equivalents that are classified as held for sale as of December 30, 2023 that are not included in cash and cash equivalents in the Consolidated Balance Sheets.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7" w:name="page28"/>
    <w:bookmarkEnd w:id="27"/>
    <w:p>
      <w:pPr>
        <w:ind w:left="320" w:hanging="312"/>
        <w:spacing w:after="0"/>
        <w:tabs>
          <w:tab w:leader="none" w:pos="32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are net of both borrowings, if any, and outstanding standby letters of credit issued in accordance with the terms of the Revolving Facility.</w:t>
      </w:r>
    </w:p>
    <w:p>
      <w:pPr>
        <w:spacing w:after="0" w:line="55" w:lineRule="exact"/>
        <w:rPr>
          <w:rFonts w:ascii="Times New Roman" w:cs="Times New Roman" w:eastAsia="Times New Roman" w:hAnsi="Times New Roman"/>
          <w:sz w:val="23"/>
          <w:szCs w:val="23"/>
          <w:color w:val="auto"/>
          <w:vertAlign w:val="superscript"/>
        </w:rPr>
      </w:pP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b w:val="1"/>
          <w:bCs w:val="1"/>
          <w:color w:val="auto"/>
        </w:rPr>
        <w:t>Liquidity</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Cash and cash equivalents of $152.1 million as of December 28, 2024 were $32.5 million lower compared to December 30, 2023. The decrease is due primarily to net revolver payments of $235.0 million, long-term debt payments of $39.2 million, cash dividends paid of $32.5 million, additions to property, plant, and equipment of $20.2 million and shares acquired related to employee stock plans of $2.6 million, partially offset by cash provided by operating activities of $180.1 million, proceeds from the sale of businesses, trademarks, long-lived assets and other assets of $102.4 million, proceeds from company-owned life insurance policy liquidations of $7.9 million and proceeds from company-owned life insurance policies of $7.0 million. The Company had $724.0 million of borrowing capacity available under the Revolving Facility as of December 28, 2024. Cash and cash equivalents located in foreign jurisdictions totaled $134.1 million as of December 28, 2024.</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flow from operating activities is expected to be sufficient to meet the Company’s working capital needs for the foreseeable future. Any excess cash flow from operating activities is expected to be used to fund organic growth initiatives, reduce debt, pay dividends and for general corporate purposes.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repurchase shares of its common stock during 2024 and 2023.</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detailed discussion of environmental remediation costs is found in Note 17 to the Company's Consolidated Financial Statements. The Company has established a reserve for estimated environmental remediation costs based upon an evaluation of currently available facts with respect to each individual affected site. As of December 28, 2024, the Company has a reserve of $39.7 million, of which $19.4 million is expected to be paid in the next 12 months and is recorded as a current obligation in other accrued liabilities, with the remaining $20.3 million recorded in other liabilities and expected to be paid over the course of up to 25 years. The Company's remediation activity at its former Tannery site and sites where the Company disposed of Tannery byproducts is ongoing. It is difficult to estimate the cost of environmental compliance and remediation given the uncertainties regarding the interpretation and enforcement of applicable environmental laws and regulations, the extent of environmental contamination and the existence of alternative cleanup methods.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Note 17 to the Company's Consolidated Financial Statements also includes a detailed discussion of environmental litigation matters. As of December 28, 2024, the Company had recorded liabilities of $10.1 million for certain of these environmental litigation matters which are recorded as other accrued liabilities in the consolidated balance sheets.</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Developments may occur that could materially change the Company’s current cost estimates. The Company adjusts recorded liabilities as further information develops or circumstances change.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expects to meet its contractual obligations through its customary sources of liquidity in the normal course of business, such as cash from operating activities, and believes it has the financial resources to satisfy these contractual obligations. The Company had the following contractual obligations due by period at December 28, 2024:</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00" w:type="dxa"/>
            <w:vAlign w:val="bottom"/>
          </w:tcPr>
          <w:p>
            <w:pPr>
              <w:spacing w:after="0"/>
              <w:rPr>
                <w:sz w:val="13"/>
                <w:szCs w:val="13"/>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Pr>
          <w:p>
            <w:pPr>
              <w:spacing w:after="0"/>
              <w:rPr>
                <w:sz w:val="13"/>
                <w:szCs w:val="13"/>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Less than</w:t>
            </w:r>
          </w:p>
        </w:tc>
        <w:tc>
          <w:tcPr>
            <w:tcW w:w="240" w:type="dxa"/>
            <w:vAlign w:val="bottom"/>
          </w:tcPr>
          <w:p>
            <w:pPr>
              <w:spacing w:after="0"/>
              <w:rPr>
                <w:sz w:val="13"/>
                <w:szCs w:val="13"/>
                <w:color w:val="auto"/>
              </w:rPr>
            </w:pPr>
          </w:p>
        </w:tc>
        <w:tc>
          <w:tcPr>
            <w:tcW w:w="11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1-3 years</w:t>
            </w:r>
          </w:p>
        </w:tc>
        <w:tc>
          <w:tcPr>
            <w:tcW w:w="240" w:type="dxa"/>
            <w:vAlign w:val="bottom"/>
          </w:tcPr>
          <w:p>
            <w:pPr>
              <w:spacing w:after="0"/>
              <w:rPr>
                <w:sz w:val="13"/>
                <w:szCs w:val="13"/>
                <w:color w:val="auto"/>
              </w:rPr>
            </w:pPr>
          </w:p>
        </w:tc>
        <w:tc>
          <w:tcPr>
            <w:tcW w:w="11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3-5 years</w:t>
            </w:r>
          </w:p>
        </w:tc>
        <w:tc>
          <w:tcPr>
            <w:tcW w:w="220" w:type="dxa"/>
            <w:vAlign w:val="bottom"/>
          </w:tcPr>
          <w:p>
            <w:pPr>
              <w:spacing w:after="0"/>
              <w:rPr>
                <w:sz w:val="13"/>
                <w:szCs w:val="13"/>
                <w:color w:val="auto"/>
              </w:rPr>
            </w:pPr>
          </w:p>
        </w:tc>
        <w:tc>
          <w:tcPr>
            <w:tcW w:w="1080" w:type="dxa"/>
            <w:vAlign w:val="bottom"/>
          </w:tcPr>
          <w:p>
            <w:pPr>
              <w:jc w:val="right"/>
              <w:ind w:right="274"/>
              <w:spacing w:after="0"/>
              <w:rPr>
                <w:sz w:val="20"/>
                <w:szCs w:val="20"/>
                <w:color w:val="auto"/>
              </w:rPr>
            </w:pPr>
            <w:r>
              <w:rPr>
                <w:rFonts w:ascii="Times New Roman" w:cs="Times New Roman" w:eastAsia="Times New Roman" w:hAnsi="Times New Roman"/>
                <w:sz w:val="14"/>
                <w:szCs w:val="14"/>
                <w:color w:val="auto"/>
              </w:rPr>
              <w:t>More than</w:t>
            </w:r>
          </w:p>
        </w:tc>
        <w:tc>
          <w:tcPr>
            <w:tcW w:w="0" w:type="dxa"/>
            <w:vAlign w:val="bottom"/>
          </w:tcPr>
          <w:p>
            <w:pPr>
              <w:spacing w:after="0"/>
              <w:rPr>
                <w:sz w:val="1"/>
                <w:szCs w:val="1"/>
                <w:color w:val="auto"/>
              </w:rPr>
            </w:pPr>
          </w:p>
        </w:tc>
      </w:tr>
      <w:tr>
        <w:trPr>
          <w:trHeight w:val="193"/>
        </w:trPr>
        <w:tc>
          <w:tcPr>
            <w:tcW w:w="42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1 year</w:t>
            </w:r>
          </w:p>
        </w:tc>
        <w:tc>
          <w:tcPr>
            <w:tcW w:w="2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354"/>
              <w:spacing w:after="0"/>
              <w:rPr>
                <w:sz w:val="20"/>
                <w:szCs w:val="20"/>
                <w:color w:val="auto"/>
              </w:rPr>
            </w:pPr>
            <w:r>
              <w:rPr>
                <w:rFonts w:ascii="Times New Roman" w:cs="Times New Roman" w:eastAsia="Times New Roman" w:hAnsi="Times New Roman"/>
                <w:sz w:val="14"/>
                <w:szCs w:val="14"/>
                <w:color w:val="auto"/>
              </w:rPr>
              <w:t>5 years</w:t>
            </w:r>
          </w:p>
        </w:tc>
        <w:tc>
          <w:tcPr>
            <w:tcW w:w="0" w:type="dxa"/>
            <w:vAlign w:val="bottom"/>
          </w:tcPr>
          <w:p>
            <w:pPr>
              <w:spacing w:after="0"/>
              <w:rPr>
                <w:sz w:val="1"/>
                <w:szCs w:val="1"/>
                <w:color w:val="auto"/>
              </w:rPr>
            </w:pPr>
          </w:p>
        </w:tc>
      </w:tr>
      <w:tr>
        <w:trPr>
          <w:trHeight w:val="228"/>
        </w:trPr>
        <w:tc>
          <w:tcPr>
            <w:tcW w:w="4260" w:type="dxa"/>
            <w:vAlign w:val="bottom"/>
            <w:tcBorders>
              <w:top w:val="single" w:sz="8" w:color="CCEEFF"/>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Long-term debt obligations </w:t>
            </w:r>
            <w:r>
              <w:rPr>
                <w:rFonts w:ascii="Times New Roman" w:cs="Times New Roman" w:eastAsia="Times New Roman" w:hAnsi="Times New Roman"/>
                <w:sz w:val="23"/>
                <w:szCs w:val="23"/>
                <w:color w:val="auto"/>
                <w:vertAlign w:val="superscript"/>
              </w:rPr>
              <w:t>(1)</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586.8</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Purchase obligations </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Executive Retirement Plan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Municipal water improvements </w:t>
            </w:r>
            <w:r>
              <w:rPr>
                <w:rFonts w:ascii="Times New Roman" w:cs="Times New Roman" w:eastAsia="Times New Roman" w:hAnsi="Times New Roman"/>
                <w:sz w:val="23"/>
                <w:szCs w:val="23"/>
                <w:color w:val="auto"/>
                <w:vertAlign w:val="superscript"/>
              </w:rPr>
              <w:t>(3)</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Cuts and Jobs Act transition obligation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260" w:type="dxa"/>
            <w:vAlign w:val="bottom"/>
            <w:tcBorders>
              <w:top w:val="single" w:sz="8" w:color="CCEEFF"/>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3"/>
                <w:szCs w:val="23"/>
                <w:color w:val="auto"/>
                <w:vertAlign w:val="superscript"/>
              </w:rPr>
              <w:t>(4)</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hanging="332"/>
        <w:spacing w:after="0" w:line="229" w:lineRule="auto"/>
        <w:tabs>
          <w:tab w:leader="none" w:pos="328"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principal and interest payments on the Company’s long-term debt. Estimated future interest payments on outstanding debt obligations are based on interest rates as of December 28, 2024. Actual cash outflows may differ significantly due to changes in underlying interest rates.</w:t>
      </w:r>
    </w:p>
    <w:p>
      <w:pPr>
        <w:spacing w:after="0" w:line="33"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Purchase obligations related primarily to inventory and capital expenditure commitments.</w:t>
      </w:r>
    </w:p>
    <w:p>
      <w:pPr>
        <w:spacing w:after="0" w:line="89" w:lineRule="exact"/>
        <w:rPr>
          <w:rFonts w:ascii="Times New Roman" w:cs="Times New Roman" w:eastAsia="Times New Roman" w:hAnsi="Times New Roman"/>
          <w:sz w:val="23"/>
          <w:szCs w:val="23"/>
          <w:color w:val="auto"/>
          <w:vertAlign w:val="superscript"/>
        </w:rPr>
      </w:pPr>
    </w:p>
    <w:p>
      <w:pPr>
        <w:jc w:val="both"/>
        <w:ind w:left="340" w:hanging="332"/>
        <w:spacing w:after="0" w:line="239" w:lineRule="auto"/>
        <w:tabs>
          <w:tab w:leader="none" w:pos="328"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Under the terms of a Consent Decree resolving certain civil and regulatory actions, the Company is obligated to contribute towards the costs of extending municipal water lines, developing a replacement wellfield and making certain improvements to Plainfield Township’s existing water treatment plant, all subject to an aggregate cap of $69.5 million. During 2024 and 2023, the Company made payments of $12.2 million and $6.4 million towards the total cap, respectively. Due to the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28" w:name="page29"/>
    <w:bookmarkEnd w:id="28"/>
    <w:p>
      <w:pPr>
        <w:ind w:left="340"/>
        <w:spacing w:after="0" w:line="282" w:lineRule="auto"/>
        <w:rPr>
          <w:sz w:val="20"/>
          <w:szCs w:val="20"/>
          <w:color w:val="auto"/>
        </w:rPr>
      </w:pPr>
      <w:r>
        <w:rPr>
          <w:rFonts w:ascii="Times New Roman" w:cs="Times New Roman" w:eastAsia="Times New Roman" w:hAnsi="Times New Roman"/>
          <w:sz w:val="18"/>
          <w:szCs w:val="18"/>
          <w:color w:val="auto"/>
        </w:rPr>
        <w:t>uncertainty of the timing and amounts related to the Company's other environmental remediation costs, they have been excluded from this table. See Note 17 to the Company's Consolidated Financial Statements for additional information.</w:t>
      </w:r>
    </w:p>
    <w:p>
      <w:pPr>
        <w:spacing w:after="0" w:line="40" w:lineRule="exact"/>
        <w:rPr>
          <w:sz w:val="20"/>
          <w:szCs w:val="20"/>
          <w:color w:val="auto"/>
        </w:rPr>
      </w:pPr>
    </w:p>
    <w:p>
      <w:pPr>
        <w:jc w:val="both"/>
        <w:ind w:left="340" w:hanging="332"/>
        <w:spacing w:after="0" w:line="235" w:lineRule="auto"/>
        <w:tabs>
          <w:tab w:leader="none" w:pos="328"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total amount of unrecognized tax benefits on the consolidated balance sheet at December 28, 2024 is $1.6 million. At this time, the Company is unable to make a reasonably reliable estimate of the timing of payments in individual years beyond 12 months due to uncertainties in the timing of tax audit outcomes. As a result, this amount is not included in the table above.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Arrangements</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credit agreement provides for a term loan A facility (the “Term Facility”) and for a revolving credit facility (the “Revolving Facility” and, together with the Term Facility, the “Senior Credit Facilities”). The maturity date of the loans under the Senior Credit Facilities is October 21, 2026. The credit agreement provides for a debt capacity of up to an aggregate debt amount (including outstanding term loan principal and revolver commitment amounts in addition to permitted incremental debt) not to exceed $2.0 billion unless certain specified conditions set forth in the Credit Agreement are met. The Revolving Facility allows the Company to borrow up to an aggregate amount of $800.0 million.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$550.0 million 4.0% senior notes issued on August 26, 2021 are due on August 15, 2029. Related interest payments are due semi-annually.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senior notes are guaranteed by substantially all of the Company’s domestic subsidiaries.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28, 2024, the Company was in compliance with all covenants and performance ratios under the Credit Agreement.</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debt at December 28, 2024 totaled $648.0 million, compared to $920.8 million at December 30, 2023. The Company expects to use the current borrowings to fund organic growth initiatives, pay dividends and for general corporate purposes. The decreased debt position is due to lower borrowings under the Revolving Facility resulting from operating cash inflows and proceeds from divestitures.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cash flow activities: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3160" w:type="dxa"/>
            <w:vAlign w:val="bottom"/>
            <w:gridSpan w:val="3"/>
          </w:tcPr>
          <w:p>
            <w:pPr>
              <w:jc w:val="right"/>
              <w:ind w:right="975"/>
              <w:spacing w:after="0"/>
              <w:rPr>
                <w:sz w:val="20"/>
                <w:szCs w:val="20"/>
                <w:color w:val="auto"/>
              </w:rPr>
            </w:pPr>
            <w:r>
              <w:rPr>
                <w:rFonts w:ascii="Times New Roman" w:cs="Times New Roman" w:eastAsia="Times New Roman" w:hAnsi="Times New Roman"/>
                <w:sz w:val="14"/>
                <w:szCs w:val="14"/>
                <w:color w:val="auto"/>
              </w:rPr>
              <w:t>Fiscal Year Ended</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640" w:type="dxa"/>
            <w:vAlign w:val="bottom"/>
            <w:gridSpan w:val="2"/>
          </w:tcPr>
          <w:p>
            <w:pPr>
              <w:ind w:left="360"/>
              <w:spacing w:after="0" w:line="129" w:lineRule="exact"/>
              <w:rPr>
                <w:sz w:val="20"/>
                <w:szCs w:val="20"/>
                <w:color w:val="auto"/>
              </w:rPr>
            </w:pPr>
            <w:r>
              <w:rPr>
                <w:rFonts w:ascii="Times New Roman" w:cs="Times New Roman" w:eastAsia="Times New Roman" w:hAnsi="Times New Roman"/>
                <w:sz w:val="14"/>
                <w:szCs w:val="14"/>
                <w:color w:val="auto"/>
              </w:rPr>
              <w:t>December 28,</w:t>
            </w:r>
          </w:p>
        </w:tc>
        <w:tc>
          <w:tcPr>
            <w:tcW w:w="1520" w:type="dxa"/>
            <w:vAlign w:val="bottom"/>
          </w:tcPr>
          <w:p>
            <w:pPr>
              <w:jc w:val="right"/>
              <w:ind w:right="275"/>
              <w:spacing w:after="0" w:line="129" w:lineRule="exact"/>
              <w:rPr>
                <w:sz w:val="20"/>
                <w:szCs w:val="20"/>
                <w:color w:val="auto"/>
              </w:rPr>
            </w:pPr>
            <w:r>
              <w:rPr>
                <w:rFonts w:ascii="Times New Roman" w:cs="Times New Roman" w:eastAsia="Times New Roman" w:hAnsi="Times New Roman"/>
                <w:sz w:val="14"/>
                <w:szCs w:val="14"/>
                <w:color w:val="auto"/>
              </w:rPr>
              <w:t>December 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gridSpan w:val="2"/>
            <w:vMerge w:val="continue"/>
          </w:tcPr>
          <w:p>
            <w:pPr>
              <w:spacing w:after="0"/>
              <w:rPr>
                <w:sz w:val="12"/>
                <w:szCs w:val="12"/>
                <w:color w:val="auto"/>
              </w:rPr>
            </w:pPr>
          </w:p>
        </w:tc>
        <w:tc>
          <w:tcPr>
            <w:tcW w:w="1520" w:type="dxa"/>
            <w:vAlign w:val="bottom"/>
          </w:tcPr>
          <w:p>
            <w:pPr>
              <w:jc w:val="right"/>
              <w:ind w:right="537"/>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2"/>
                <w:szCs w:val="12"/>
                <w:color w:val="auto"/>
              </w:rPr>
            </w:pPr>
          </w:p>
        </w:tc>
        <w:tc>
          <w:tcPr>
            <w:tcW w:w="1520" w:type="dxa"/>
            <w:vAlign w:val="bottom"/>
          </w:tcPr>
          <w:p>
            <w:pPr>
              <w:jc w:val="right"/>
              <w:ind w:right="535"/>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73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by financing activities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principal source of the Company’s operating cash flow is net earnings, including cash receipts from the sale of the Company’s products, net of costs of goods sold.</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Cash from operations during 2024 was higher compared to 2023, due primarily to a decrease in net working capital representing a source of cash of $82.6 million. Working capital balances were favorably impacted by a decrease in inventories of $127.1 million and a decrease in accounts receivable of $16.7 million, partially offset by a decrease in other operating liabilities of $47.9 million, an increase in other operating assets of $5.6 million, a decrease in income taxes payable of $4.3 million, and a decrease in accounts payable of $3.4 million. Operating cash flows included non-cash add back for depreciation and amortization expense adjustment of $26.2 million, deferred income tax adjustment of $21.4 million, stock-based compensation expense adjustment of $19.1 million, environmental and other related costs, net of cash payments and recoveries received cash outflow of $13.3 million, the impairment of long-lived assets of $9.3 million, gain on sale of business, trademarks and long-lived assets of $8.5 million, and pension expense adjustment of $0.2 million.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made capital expenditures of $20.2 million and $14.6 million in years 2024 and 2023, respectively, for building improvements, eCommerce site enhancements, new retail stores, distribution operations improvements and information system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9" w:name="page30"/>
    <w:bookmarkEnd w:id="29"/>
    <w:p>
      <w:pPr>
        <w:jc w:val="both"/>
        <w:spacing w:after="0" w:line="282" w:lineRule="auto"/>
        <w:rPr>
          <w:sz w:val="20"/>
          <w:szCs w:val="20"/>
          <w:color w:val="auto"/>
        </w:rPr>
      </w:pPr>
      <w:r>
        <w:rPr>
          <w:rFonts w:ascii="Times New Roman" w:cs="Times New Roman" w:eastAsia="Times New Roman" w:hAnsi="Times New Roman"/>
          <w:sz w:val="18"/>
          <w:szCs w:val="18"/>
          <w:color w:val="auto"/>
        </w:rPr>
        <w:t>enhancements. The current year activity includes proceeds from the sale of businesses and trademarks of $102.4 million and company-owned life insurance policy liquidations of $7.9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current year debt activity includes net payments under the Revolving Facility of $235.0 million, payments on long-term debt of $39.2 million and proceeds from company-owned life insurance policies of $7.0 million. The Company paid $2.6 million and $5.8 million in 2024 and 2023, respectively, in connection with shares or units withheld to pay employee taxes related to awards under stock incentive plans. The Company received $31.2 million from noncontrolling interests in 2023.</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declared cash dividends of $0.40 per share in each of 2024 and 2023. Dividends paid totaled $32.5 million and $32.6 million for 2024 and 2023, respectively. A quarterly dividend of $0.10 per share was declared on February 5, 2025 to shareholders of record on April 1,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to the Company's Consolidated Financial Statements for information related to new accounting standards.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which have been prepared in accordance with accounting principles generally accepted in the U.S. ("U.S. GAAP"), requires management to make estimates and assumptions that affect the amounts reported in the financial statements and accompanying notes. On an ongoing basis, management evaluates these estimates.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Historically, actual results have not been materially different from the Company’s estimates. However, actual results may differ materially from these estimates under different assumptions or conditions.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identified the following critical accounting policies used in determining estimates and assumptions in the amounts reported.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believes that an understanding of these policies is important to an overall understanding of the Company’s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accounting policies are summarized in Note 1 to the Company's Consolidated Financial Statements.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 and Performance Obligations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is recognized upon the transfer of promised goods or services to customers, in an amount that reflects the expected consideration to be received in exchange for those goods or services. The Company identifies the performance obligation in the contract, determines the transaction price, allocates the transaction price to the performance obligations, and recognizes revenue upon completion of the performance obligation. Revenue is recognized net of variable consideration and any taxes collected from customers, which are subsequently remitted to governmental authorities.</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Control of the Company's goods and services, and associated revenue, are transferred to customers at a point in time. The Company’s contract revenue consists of wholesale revenue and direct-to-consumer revenue. Wholesale revenue is recognized for products sourced by the Company when control transfers to the customer generally occurring upon the shipment or delivery of branded products to the customer. Direct-to-consumer includes eCommerce revenue that is recognized for products sourced by the Company when control transfers to the customer once the related goods have been shipped and retail store revenue recognized at time of sale. The point of purchase or shipment was evaluated to best represent when control transfers based on the Company’s right of payment for the goods, the customer’s legal title to the asset, the transfer of physical possession and the customer having the risks and rewards of the goods. Payment terms for the Company's revenue vary by sales channel. Standard credit terms apply to the Company's wholesale receivables, while payment is rendered at the time of sale within the direct-to-consumer channel.</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Revenue is recorded at the net sales price (“transaction price”), which includes estimates of variable consideration for which reserves are established. Components of variable consideration include trade discounts and allowances, product returns, customer markdowns, customer rebates and other sales incentives relating to the sale of the Company’s products. These reserves are based on the amounts earned, or to be claimed on the related sales. These estimates take into consideration a range of possible outcomes, which are probability-weighted in accordance with the expected value method for relevant factors such as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respective underlying contracts. Revenue recognized during the year ended December 28, 2024 related to the Company’s contract liabilities was nominal.</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values its inventory at the lower of cost or net realizable value. Cost is determined by the last-in, first out ("LIFO") method for certain domestic finished product inventories. Cost is determined using the first-in, first-out (“FIFO”) method for all raw materials, work-in-process and finished product inventories in foreign countries and certain domestic finished product inventories. The average cost of inventory is used for finished product inventories of the Company’s U.S. retail store business inventory. The Company has applied these inventory cost valuation methods consistently from year to year.</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reduces the carrying value of its inventories to the lower of cost or net realizable value for excess or obsolete inventories based upon assumptions about future demand and market conditions. If the Company were to determine that the estimated realizable value of its inventory is less than the carrying value of such inventory, the Company would provide a reserve for such difference as a charge to cost of sales. If actual market conditions are different from those projected, adjustments to those inventory reserves may be required. The adjustments would increase or decrease the Company’s cost of sales and net income in the period in which they were realized or recorded. Inventory quantities are verified at various times throughout the year by performing physical inventory counts and subsequently comparing those results to perpetual inventory balances. If the Company determines that adjustments to the inventory quantities are appropriate, an adjustment to the Company’s cost of goods sold and inventory is recorded in the period in which such determination was made.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accounts for business combinations using the acquisition method of accounting, which requires that once control is obtained, the consolidated financial statements reflect the operations of an acquired business starting from the acquisition date.</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assets acquired and liabilities assumed are recorded at fair value as of the acquisition date. The Company allocates the purchase price of an acquired business to the fair values of the tangible and identifiable intangible assets acquired and liabilities assumed, with any excess purchase price recorded as goodwill. Contingent consideration, if any, is included in the purchase price and is recognized at its fair value on the acquisition date. During the measurement period, which is up to one year from the acquisition date, adjustments to the assets acquired and liabilities assumed may be recorded, with the corresponding offset to goodwill.</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determination of fair values of identifiable assets and liabilities requires estimates and the use of valuation techniques and requires management to make judgments that may involve the use of significant estimates. For intangible assets acquired in a business combination, the Company typically uses the income method. Significant estimates used in valuing certain intangible assets include, but are not limited to, the amount and timing of future cash flows, growth rates and discount rates, among other items. If the actual results differ from the estimates and judgments used, the amounts recorded in the Consolidated Financial Statements may be exposed to potential impairment of the intangible assets and goodwill as discussed in the "Goodwill and Indefinite-Lived Intangibles" section below.</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Indefinite-Lived Intangible Assets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Goodwill and intangible assets deemed to have indefinite lives are not amortized, but are subject to impairment tests at least annually. The Company reviews the carrying amounts of goodwill and indefinite-lived intangible assets by reporting unit at least annually, or when indicators of impairment are present, to determine if such assets may be impaired. If the carrying amounts of these assets are not recoverable based upon discounted cash flow and market approach analyses, the carrying amounts of such assets are reduced by the estimated difference between the carrying values and estimated fair values. The Company includes assumptions such as a discount rate and expected future operating performance, which includes forecasted revenue growth, earnings before interest, taxes, depreciation and amortization ("EBITDA") margin and cost of capital, which are derived from internal projections and operating plans, as part of a discounted cash flow analysis to estimate fair value.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goodwill, if the estimated fair value of the reporting unit exceeds its carrying value, no further review is required. However, if the estimated fair value of the reporting unit is less than its carrying value, the Company records an impairment charge equal to the excess of the recorded goodwill over the fair value of the goodwill.</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may first assess qualitative factors to determine whether it is more likely than not that the fair value of goodwill and indefinite-lived intangible assets are less than their carrying value. The Company would not be required to quantitatively determine the fair value unless the Company determines, based on the qualitative assessment, that it is more likely than not that its fair value is less than the carrying value.</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performs its annual testing for goodwill and indefinite-lived intangible asset impairment at the beginning of the fourth quarter of the fiscal year for all reporting units. The Company did not recognize any impairment charges for goodwill during 2024 and 2023. In the fourth quarter of 2022, after completion of the annual impairment testing, the Company recorded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1" w:name="page32"/>
    <w:bookmarkEnd w:id="31"/>
    <w:p>
      <w:pPr>
        <w:jc w:val="both"/>
        <w:spacing w:after="0" w:line="222" w:lineRule="auto"/>
        <w:rPr>
          <w:sz w:val="20"/>
          <w:szCs w:val="20"/>
          <w:color w:val="auto"/>
        </w:rPr>
      </w:pPr>
      <w:r>
        <w:rPr>
          <w:rFonts w:ascii="Times New Roman" w:cs="Times New Roman" w:eastAsia="Times New Roman" w:hAnsi="Times New Roman"/>
          <w:sz w:val="18"/>
          <w:szCs w:val="18"/>
          <w:color w:val="auto"/>
        </w:rPr>
        <w:t xml:space="preserve">a $48.4 million impairment charge for </w:t>
      </w:r>
      <w:r>
        <w:rPr>
          <w:rFonts w:ascii="Times New Roman" w:cs="Times New Roman" w:eastAsia="Times New Roman" w:hAnsi="Times New Roman"/>
          <w:sz w:val="18"/>
          <w:szCs w:val="18"/>
          <w:i w:val="1"/>
          <w:iCs w:val="1"/>
          <w:color w:val="auto"/>
        </w:rPr>
        <w:t>Sweaty Betty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goodwill. The Company did not recognize any impairment charges for indefinite-lived intangible assets during 2024. In the third quarter of 2023, after completion of impairment testing, the Company recorded a $38.3 million impairment charge for the </w:t>
      </w:r>
      <w:r>
        <w:rPr>
          <w:rFonts w:ascii="Times New Roman" w:cs="Times New Roman" w:eastAsia="Times New Roman" w:hAnsi="Times New Roman"/>
          <w:sz w:val="18"/>
          <w:szCs w:val="18"/>
          <w:i w:val="1"/>
          <w:iCs w:val="1"/>
          <w:color w:val="auto"/>
        </w:rPr>
        <w:t>Sperry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trade name. In the fourth quarter of 2022, the Company recognized impairment charges of $191.0 million for the</w:t>
      </w:r>
      <w:r>
        <w:rPr>
          <w:rFonts w:ascii="Times New Roman" w:cs="Times New Roman" w:eastAsia="Times New Roman" w:hAnsi="Times New Roman"/>
          <w:sz w:val="18"/>
          <w:szCs w:val="18"/>
          <w:i w:val="1"/>
          <w:iCs w:val="1"/>
          <w:color w:val="auto"/>
        </w:rPr>
        <w:t xml:space="preserve"> Sperry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trade name and $189.3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million for the </w:t>
      </w:r>
      <w:r>
        <w:rPr>
          <w:rFonts w:ascii="Times New Roman" w:cs="Times New Roman" w:eastAsia="Times New Roman" w:hAnsi="Times New Roman"/>
          <w:sz w:val="18"/>
          <w:szCs w:val="18"/>
          <w:i w:val="1"/>
          <w:iCs w:val="1"/>
          <w:color w:val="auto"/>
        </w:rPr>
        <w:t>Sweaty Betty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trade name. Refer to Note 4, “Goodwill and Other Intangible Assets” for additional discussion of the </w:t>
      </w:r>
      <w:r>
        <w:rPr>
          <w:rFonts w:ascii="Times New Roman" w:cs="Times New Roman" w:eastAsia="Times New Roman" w:hAnsi="Times New Roman"/>
          <w:sz w:val="18"/>
          <w:szCs w:val="18"/>
          <w:i w:val="1"/>
          <w:iCs w:val="1"/>
          <w:color w:val="auto"/>
        </w:rPr>
        <w:t>Sweaty Betty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goodwill impairment and the </w:t>
      </w:r>
      <w:r>
        <w:rPr>
          <w:rFonts w:ascii="Times New Roman" w:cs="Times New Roman" w:eastAsia="Times New Roman" w:hAnsi="Times New Roman"/>
          <w:sz w:val="18"/>
          <w:szCs w:val="18"/>
          <w:i w:val="1"/>
          <w:iCs w:val="1"/>
          <w:color w:val="auto"/>
        </w:rPr>
        <w:t>Sweaty Betty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Sperry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trade name impairments.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establishes a reserve for estimated environmental remediation costs based upon the evaluation of currently-available facts with respect to each individual affected site. The costs are recorded on an undiscounted basis when they are probable and reasonably estimable, generally no later than the completion of feasibility studies, the Company’s commitment to a plan of action, or approval by regulatory agencies. Liabilities for estimated costs of environmental remediation are based primarily upon third-party environmental studies, other internal analysis and the extent of the contamination and the nature of required remedial actions at each site. The Company records adjustments to the estimated costs if there are changes in the scope of the required remediation activity, extent of contamination, governmental regulations or remediation technologies. Environmental costs relating to existing conditions caused by past operations that do not contribute to current or future revenues are expensed as incurred. Refer to Note 17, “Litigation and Contingencies” for additional discussion on estimated environmental remediation costs.</w:t>
      </w:r>
    </w:p>
    <w:p>
      <w:pPr>
        <w:spacing w:after="0" w:line="1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Assets related to potential recoveries from other responsible parties are recognized when a definitive agreement is reached and collection of cash is realizable. Recoveries of covered losses under insurance policies are recognized only when realization of the claim is deemed probable.</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subject to legal proceedings and claims related to the environmental matters as described in Note 17 to the Company's Consolidated Financial Statements. The Company routinely assesses the legal and factual circumstances of each matter and the likelihood of any adverse outcomes in these matters, as well as ranges of possible losses. Assessments of lawsuits and claims can involve a series of complex judgments about future events and can rely heavily on estimates and assumptions. The Company accrues an estimated liability for legal proceeding claims that are both probable and estimable and reserves may change in future periods due to new developments in each matter. For further discussion, refer to Note 17 “Litigation and Contingencies”.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Benefits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determination of the obligation and expense for retirement benefits depends upon the selection of certain actuarial assumptions used in calculating such amounts. These assumptions include, among others, the discount rate, expected long-term rate of return on plan assets, mortality rates and rates of increase in compensation. These assumptions are reviewed with the Company’s actuaries and updated annually based on relevant external and internal factors and information, including, but not limited to, long-term expected asset returns, rates of termination, regulatory requirements and plan changes.</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utilizes a bond matching calculation to determine the discount rate used to calculate its year-end pension liability and subsequent year pension expense. A hypothetical bond portfolio is created based on a presumed purchase of individual bonds to settle the plans' expected future benefit payments. The discount rate is the resulting yield of the hypothetical bond portfolio. The bonds selected are listed as high grade by at least two recognized ratings agency and are non-callable, currently purchasable and non-prepayable. The calculated discount rate was 5.75% at December 28, 2024, compared to 5.30% at December 30, 2023. Pension expense is also impacted by the expected long-term rate of return on plan assets, which the Company has determined to be 6.96% and 6.88% for fiscal 2024 and 2023, respectively. This rate is based on both actual historical rates of return experienced by the pension assets and the long-term rate of return of a composite portfolio of equity and fixed income securities that reflects the approximate diversification of the pension assets.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9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Company maintains certain strategic management and operational activities in overseas subsidiaries, and its foreign earnings are taxed at rates that have generally been lower than the U.S. federal statutory income tax rate. A significant amount of the Company’s earnings are generated by its Canadian, European and Asian subsidiaries and, to a lesser extent, in jurisdictions that are not subject to income tax. Income tax audits associated with the allocation of this income and other complex issues may require an extended period of time to resolve and may result in income tax adjustments if changes to the income allocation are required between jurisdictions with different income tax rates. The Company evaluates the probability a tax position will be effectively sustained and the appropriateness of the amount recognized for uncertain tax positions based on factors including changes in facts or circumstances, changes in tax law, settled audit issues and new audit activity. Changes in the Company’s assessment may result in the recognition of a tax benefit or an additional charge to the tax provision in the period our assessment changes. The carrying value of the Company’s deferred tax assets assumes that the Company will be able to generate sufficient taxable income in future years to utilize these deferred tax assets. If these assumptions change, the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2" w:name="page33"/>
    <w:bookmarkEnd w:id="32"/>
    <w:p>
      <w:pPr>
        <w:jc w:val="both"/>
        <w:spacing w:after="0" w:line="250" w:lineRule="auto"/>
        <w:rPr>
          <w:sz w:val="20"/>
          <w:szCs w:val="20"/>
          <w:color w:val="auto"/>
        </w:rPr>
      </w:pPr>
      <w:r>
        <w:rPr>
          <w:rFonts w:ascii="Times New Roman" w:cs="Times New Roman" w:eastAsia="Times New Roman" w:hAnsi="Times New Roman"/>
          <w:sz w:val="18"/>
          <w:szCs w:val="18"/>
          <w:color w:val="auto"/>
        </w:rPr>
        <w:t>Company may be required to record valuation allowances against its gross deferred tax assets in future years, which would cause the Company to record additional income tax expense in its consolidated statements of operations. Management evaluates the potential that the Company will be able to realize its gross deferred tax assets and assesses the need for valuation allowances on a quarterly basis.</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 periodic basis, the Company estimates the full year effective tax rate and records a quarterly income tax provision in accordance with the projected full year rate. As the year progresses, that estimate is refined based upon actual events and the distribution of earnings in each tax jurisdiction during the year. This continual estimation process periodically results in a change to the expected effective tax rate for the year. When this occurs, the Company adjusts the income tax provision during the quarter in which the change in estimate occurs so that the year-to-date provision reflects the revised anticipated annual rate.</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intends to repatriate cash held in foreign jurisdictions and has recorded a deferred tax liability related to estimated state taxes and foreign withholding taxes on the future dividends received in the U.S. from the foreign subsidiaries.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intends to permanently reinvest all non-cash undistributed earnings outside of the U.S. and has, therefore, not established a deferred tax liability on that amount of foreign unremitted earnings. However, if these non-cash undistributed earnings were repatriated, the Company would be required to accrue and pay applicable U.S. taxes and withholding taxes payable to various countries. It is not practicable to estimate the amount of the deferred tax liability associated with these non-cash unremitted earnings due to the complexity of the hypothetical calculation.</w:t>
      </w:r>
    </w:p>
    <w:p>
      <w:pPr>
        <w:spacing w:after="0" w:line="17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Company's financial position and results of operations are routinely subject to a variety of risks, including market risk associated with interest rate movements on borrowings and investments and currency rate movements on non-U.S. dollar denominated assets, liabilities and cash flows. The Company regularly assesses these risks and has established policies and business practices that should mitigate a portion of the adverse effect of these and other potential exposures.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Risk</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faces market risk to the extent that changes in foreign currency exchange rates affect the Company’s foreign assets, liabilities and inventory purchase commitments. The Company manages these risks by attempting to denominate contractual and other foreign arrangements in U.S. dollars. The Company does not believe that there has been a material change in the nature of the Company’s primary market risk exposures, including the categories of market risk to which the Company is exposed and the particular markets that present the primary risk of loss to the Company. As of the date of this Annual Report on Form 10-K, the Company does not know of any material change in the near-term in the general nature of its primary market risk exposure.</w:t>
      </w:r>
    </w:p>
    <w:p>
      <w:pPr>
        <w:spacing w:after="0" w:line="1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Under the provisions of Financial Accounting Standards Board Accounting Standards Codification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the Company is required to recognize all derivatives on the balance sheet at fair value. Derivatives that are not qualifying hedges must be adjusted to fair value through earnings. If a derivative is a qualifying hedge, depending on the nature of the hedge, changes in the fair value of derivatives are either offset against the change in fair value of the hedged assets, liabilities or firm commitments through earnings or recognized in accumulated other comprehensive income (loss) until the hedged item is recognized in earnings.</w:t>
      </w:r>
    </w:p>
    <w:p>
      <w:pPr>
        <w:spacing w:after="0" w:line="1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conducts wholesale operations outside of the U.S. in Canada, continental Europe, the United Kingdom, Hong Kong, China and Mexico where the functional currencies are primarily the Canadian dollar, euro, British pound, Hong Kong dollar, Chinese renminbi and Mexican peso, respectively. The Company utilizes foreign currency forward exchange contracts to manage the volatility associated primarily with U.S. dollar inventory purchases made by non-U.S. wholesale operations in the normal course of business as well as to manage foreign currency translation exposure. At December 28, 2024 and December 30, 2023, the Company had outstanding forward currency exchange contracts to purchase primarily U.S. dollars in the amounts of $263.5 million and $269.0 million, respectively, with maturities ranging up to 531 and 531 days, respectively.</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also has sourcing locations in Asia, where financial statements reflect the U.S. dollar as the functional currency. However, operating costs are paid in the local currency. Revenue generated by the Company from third-party foreign licensees is calculated in the local currencies but paid in U.S. dollars. Accordingly, the Company’s reported results are subject to foreign currency exposure for this stream of revenue and expenses. Any associated foreign currency gains or losses on the settlement of local currency amounts are reflected within the Company's consolidated statement of operations and comprehensive income.</w:t>
      </w:r>
    </w:p>
    <w:p>
      <w:pPr>
        <w:spacing w:after="0" w:line="1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Assets and liabilities outside the U.S. are primarily located in the United Kingdom, Canada and the Netherlands. The Company’s investments in foreign subsidiaries with a functional currency other than the U.S. dollar are generally considered long-term. At December 28, 2024, a stronger U.S. dollar compared to certain foreign currencies decreased the value of these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3" w:name="page34"/>
    <w:bookmarkEnd w:id="33"/>
    <w:p>
      <w:pPr>
        <w:jc w:val="both"/>
        <w:spacing w:after="0" w:line="282" w:lineRule="auto"/>
        <w:rPr>
          <w:sz w:val="20"/>
          <w:szCs w:val="20"/>
          <w:color w:val="auto"/>
        </w:rPr>
      </w:pPr>
      <w:r>
        <w:rPr>
          <w:rFonts w:ascii="Times New Roman" w:cs="Times New Roman" w:eastAsia="Times New Roman" w:hAnsi="Times New Roman"/>
          <w:sz w:val="18"/>
          <w:szCs w:val="18"/>
          <w:color w:val="auto"/>
        </w:rPr>
        <w:t>investments in net assets by $16.5 million from their value at December 30, 2023. At December 30, 2023, a weaker U.S. dollar compared to certain foreign currencies increased the value of these investments in net assets by $16.8 million from their value at December 31, 2022.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exposed to interest rate changes primarily as a result of interest expense on the Incremental Term Loan borrowings and any borrowings under the Revolving Facility. The Company’s total variable-rate debt was $102.5 million at December 28, 2024 and the Company held a forward-dated interest rate swap agreement, denominated in U.S. dollars that will effectively convert $16.7 million of this amount to fixed-rate debt. The interest rate swap derivative instrument is held and used by the Company as a tool for managing interest rate risk. The counterparty to the swap instrument is a large financial institution that the Company believes is of high-quality creditworthiness. While the Company may be exposed to potential losses due to the credit risk of non-performance by this counterparty, such losses are not anticipated. The fair value of the interest rate swap was determined to be a net asset of $0.2 million as of December 28, 2024. As of December 28, 2024, the weighted-average interest rate on the Company’s variable-rate debt, net of the impact of the interest rate swap, was 5.84%. Based on the level of variable-rate debt outstanding as of that date, a 100 basis point increase in the weighted-average interest rate would have increased the Company’s annual pre-tax interest expense by approximately $0.9 million. The Company does not enter into contracts for speculative or trading purposes, nor is it a party to any leveraged derivative instruments.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8"/>
        </w:trPr>
        <w:tc>
          <w:tcPr>
            <w:tcW w:w="1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531"/>
        </w:trPr>
        <w:tc>
          <w:tcPr>
            <w:tcW w:w="1100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8"/>
        </w:trPr>
        <w:tc>
          <w:tcPr>
            <w:tcW w:w="1100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51"/>
        </w:trPr>
        <w:tc>
          <w:tcPr>
            <w:tcW w:w="1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Statements of Operations</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36</w:t>
            </w:r>
          </w:p>
        </w:tc>
        <w:tc>
          <w:tcPr>
            <w:tcW w:w="60" w:type="dxa"/>
            <w:vAlign w:val="bottom"/>
          </w:tcPr>
          <w:p>
            <w:pPr>
              <w:spacing w:after="0"/>
              <w:rPr>
                <w:sz w:val="24"/>
                <w:szCs w:val="24"/>
                <w:color w:val="auto"/>
              </w:rPr>
            </w:pPr>
          </w:p>
        </w:tc>
      </w:tr>
      <w:tr>
        <w:trPr>
          <w:trHeight w:val="210"/>
        </w:trPr>
        <w:tc>
          <w:tcPr>
            <w:tcW w:w="1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Statements of Comprehensive Income (Loss)</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c>
          <w:tcPr>
            <w:tcW w:w="60" w:type="dxa"/>
            <w:vAlign w:val="bottom"/>
          </w:tcPr>
          <w:p>
            <w:pPr>
              <w:spacing w:after="0"/>
              <w:rPr>
                <w:sz w:val="18"/>
                <w:szCs w:val="18"/>
                <w:color w:val="auto"/>
              </w:rPr>
            </w:pPr>
          </w:p>
        </w:tc>
      </w:tr>
      <w:tr>
        <w:trPr>
          <w:trHeight w:val="209"/>
        </w:trPr>
        <w:tc>
          <w:tcPr>
            <w:tcW w:w="1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c>
          <w:tcPr>
            <w:tcW w:w="60" w:type="dxa"/>
            <w:vAlign w:val="bottom"/>
          </w:tcPr>
          <w:p>
            <w:pPr>
              <w:spacing w:after="0"/>
              <w:rPr>
                <w:sz w:val="18"/>
                <w:szCs w:val="18"/>
                <w:color w:val="auto"/>
              </w:rPr>
            </w:pPr>
          </w:p>
        </w:tc>
      </w:tr>
      <w:tr>
        <w:trPr>
          <w:trHeight w:val="209"/>
        </w:trPr>
        <w:tc>
          <w:tcPr>
            <w:tcW w:w="1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c>
          <w:tcPr>
            <w:tcW w:w="60" w:type="dxa"/>
            <w:vAlign w:val="bottom"/>
          </w:tcPr>
          <w:p>
            <w:pPr>
              <w:spacing w:after="0"/>
              <w:rPr>
                <w:sz w:val="18"/>
                <w:szCs w:val="18"/>
                <w:color w:val="auto"/>
              </w:rPr>
            </w:pPr>
          </w:p>
        </w:tc>
      </w:tr>
      <w:tr>
        <w:trPr>
          <w:trHeight w:val="210"/>
        </w:trPr>
        <w:tc>
          <w:tcPr>
            <w:tcW w:w="1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Statements of Stockholders' Equity</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c>
          <w:tcPr>
            <w:tcW w:w="60" w:type="dxa"/>
            <w:vAlign w:val="bottom"/>
          </w:tcPr>
          <w:p>
            <w:pPr>
              <w:spacing w:after="0"/>
              <w:rPr>
                <w:sz w:val="18"/>
                <w:szCs w:val="18"/>
                <w:color w:val="auto"/>
              </w:rPr>
            </w:pPr>
          </w:p>
        </w:tc>
      </w:tr>
      <w:tr>
        <w:trPr>
          <w:trHeight w:val="209"/>
        </w:trPr>
        <w:tc>
          <w:tcPr>
            <w:tcW w:w="1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 1. Summary of Significant Accounting Policies</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43</w:t>
            </w:r>
          </w:p>
        </w:tc>
        <w:tc>
          <w:tcPr>
            <w:tcW w:w="60" w:type="dxa"/>
            <w:vAlign w:val="bottom"/>
          </w:tcPr>
          <w:p>
            <w:pPr>
              <w:spacing w:after="0"/>
              <w:rPr>
                <w:sz w:val="18"/>
                <w:szCs w:val="18"/>
                <w:color w:val="auto"/>
              </w:rPr>
            </w:pPr>
          </w:p>
        </w:tc>
      </w:tr>
      <w:tr>
        <w:trPr>
          <w:trHeight w:val="209"/>
        </w:trPr>
        <w:tc>
          <w:tcPr>
            <w:tcW w:w="1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 2. New Accounting Standards</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48</w:t>
            </w:r>
          </w:p>
        </w:tc>
        <w:tc>
          <w:tcPr>
            <w:tcW w:w="60" w:type="dxa"/>
            <w:vAlign w:val="bottom"/>
          </w:tcPr>
          <w:p>
            <w:pPr>
              <w:spacing w:after="0"/>
              <w:rPr>
                <w:sz w:val="18"/>
                <w:szCs w:val="18"/>
                <w:color w:val="auto"/>
              </w:rPr>
            </w:pPr>
          </w:p>
        </w:tc>
      </w:tr>
      <w:tr>
        <w:trPr>
          <w:trHeight w:val="210"/>
        </w:trPr>
        <w:tc>
          <w:tcPr>
            <w:tcW w:w="1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 3. Earnings Per Share</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49</w:t>
            </w:r>
          </w:p>
        </w:tc>
        <w:tc>
          <w:tcPr>
            <w:tcW w:w="60" w:type="dxa"/>
            <w:vAlign w:val="bottom"/>
          </w:tcPr>
          <w:p>
            <w:pPr>
              <w:spacing w:after="0"/>
              <w:rPr>
                <w:sz w:val="18"/>
                <w:szCs w:val="18"/>
                <w:color w:val="auto"/>
              </w:rPr>
            </w:pPr>
          </w:p>
        </w:tc>
      </w:tr>
      <w:tr>
        <w:trPr>
          <w:trHeight w:val="209"/>
        </w:trPr>
        <w:tc>
          <w:tcPr>
            <w:tcW w:w="1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 4. Goodwill and Other Intangible Assets</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50</w:t>
            </w:r>
          </w:p>
        </w:tc>
        <w:tc>
          <w:tcPr>
            <w:tcW w:w="60" w:type="dxa"/>
            <w:vAlign w:val="bottom"/>
          </w:tcPr>
          <w:p>
            <w:pPr>
              <w:spacing w:after="0"/>
              <w:rPr>
                <w:sz w:val="18"/>
                <w:szCs w:val="18"/>
                <w:color w:val="auto"/>
              </w:rPr>
            </w:pPr>
          </w:p>
        </w:tc>
      </w:tr>
      <w:tr>
        <w:trPr>
          <w:trHeight w:val="210"/>
        </w:trPr>
        <w:tc>
          <w:tcPr>
            <w:tcW w:w="1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 5. Accounts Receivable</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51</w:t>
            </w:r>
          </w:p>
        </w:tc>
        <w:tc>
          <w:tcPr>
            <w:tcW w:w="60" w:type="dxa"/>
            <w:vAlign w:val="bottom"/>
          </w:tcPr>
          <w:p>
            <w:pPr>
              <w:spacing w:after="0"/>
              <w:rPr>
                <w:sz w:val="18"/>
                <w:szCs w:val="18"/>
                <w:color w:val="auto"/>
              </w:rPr>
            </w:pPr>
          </w:p>
        </w:tc>
      </w:tr>
      <w:tr>
        <w:trPr>
          <w:trHeight w:val="209"/>
        </w:trPr>
        <w:tc>
          <w:tcPr>
            <w:tcW w:w="1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 6. Revenue From Contracts With Customers</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51</w:t>
            </w:r>
          </w:p>
        </w:tc>
        <w:tc>
          <w:tcPr>
            <w:tcW w:w="60" w:type="dxa"/>
            <w:vAlign w:val="bottom"/>
          </w:tcPr>
          <w:p>
            <w:pPr>
              <w:spacing w:after="0"/>
              <w:rPr>
                <w:sz w:val="18"/>
                <w:szCs w:val="18"/>
                <w:color w:val="auto"/>
              </w:rPr>
            </w:pPr>
          </w:p>
        </w:tc>
      </w:tr>
      <w:tr>
        <w:trPr>
          <w:trHeight w:val="209"/>
        </w:trPr>
        <w:tc>
          <w:tcPr>
            <w:tcW w:w="1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 7. Inventories</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53</w:t>
            </w:r>
          </w:p>
        </w:tc>
        <w:tc>
          <w:tcPr>
            <w:tcW w:w="60" w:type="dxa"/>
            <w:vAlign w:val="bottom"/>
          </w:tcPr>
          <w:p>
            <w:pPr>
              <w:spacing w:after="0"/>
              <w:rPr>
                <w:sz w:val="18"/>
                <w:szCs w:val="18"/>
                <w:color w:val="auto"/>
              </w:rPr>
            </w:pPr>
          </w:p>
        </w:tc>
      </w:tr>
      <w:tr>
        <w:trPr>
          <w:trHeight w:val="210"/>
        </w:trPr>
        <w:tc>
          <w:tcPr>
            <w:tcW w:w="1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 8. Debt</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53</w:t>
            </w:r>
          </w:p>
        </w:tc>
        <w:tc>
          <w:tcPr>
            <w:tcW w:w="60" w:type="dxa"/>
            <w:vAlign w:val="bottom"/>
          </w:tcPr>
          <w:p>
            <w:pPr>
              <w:spacing w:after="0"/>
              <w:rPr>
                <w:sz w:val="18"/>
                <w:szCs w:val="18"/>
                <w:color w:val="auto"/>
              </w:rPr>
            </w:pPr>
          </w:p>
        </w:tc>
      </w:tr>
      <w:tr>
        <w:trPr>
          <w:trHeight w:val="209"/>
        </w:trPr>
        <w:tc>
          <w:tcPr>
            <w:tcW w:w="1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 9. Property, Plant and Equipment</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54</w:t>
            </w:r>
          </w:p>
        </w:tc>
        <w:tc>
          <w:tcPr>
            <w:tcW w:w="60" w:type="dxa"/>
            <w:vAlign w:val="bottom"/>
          </w:tcPr>
          <w:p>
            <w:pPr>
              <w:spacing w:after="0"/>
              <w:rPr>
                <w:sz w:val="18"/>
                <w:szCs w:val="18"/>
                <w:color w:val="auto"/>
              </w:rPr>
            </w:pPr>
          </w:p>
        </w:tc>
      </w:tr>
      <w:tr>
        <w:trPr>
          <w:trHeight w:val="209"/>
        </w:trPr>
        <w:tc>
          <w:tcPr>
            <w:tcW w:w="1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 10. Leases</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54</w:t>
            </w:r>
          </w:p>
        </w:tc>
        <w:tc>
          <w:tcPr>
            <w:tcW w:w="60" w:type="dxa"/>
            <w:vAlign w:val="bottom"/>
          </w:tcPr>
          <w:p>
            <w:pPr>
              <w:spacing w:after="0"/>
              <w:rPr>
                <w:sz w:val="18"/>
                <w:szCs w:val="18"/>
                <w:color w:val="auto"/>
              </w:rPr>
            </w:pPr>
          </w:p>
        </w:tc>
      </w:tr>
      <w:tr>
        <w:trPr>
          <w:trHeight w:val="210"/>
        </w:trPr>
        <w:tc>
          <w:tcPr>
            <w:tcW w:w="1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 11. Derivative Financial Instruments</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55</w:t>
            </w:r>
          </w:p>
        </w:tc>
        <w:tc>
          <w:tcPr>
            <w:tcW w:w="60" w:type="dxa"/>
            <w:vAlign w:val="bottom"/>
          </w:tcPr>
          <w:p>
            <w:pPr>
              <w:spacing w:after="0"/>
              <w:rPr>
                <w:sz w:val="18"/>
                <w:szCs w:val="18"/>
                <w:color w:val="auto"/>
              </w:rPr>
            </w:pPr>
          </w:p>
        </w:tc>
      </w:tr>
      <w:tr>
        <w:trPr>
          <w:trHeight w:val="209"/>
        </w:trPr>
        <w:tc>
          <w:tcPr>
            <w:tcW w:w="1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 12. Stock-Based Compensation</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56</w:t>
            </w:r>
          </w:p>
        </w:tc>
        <w:tc>
          <w:tcPr>
            <w:tcW w:w="60" w:type="dxa"/>
            <w:vAlign w:val="bottom"/>
          </w:tcPr>
          <w:p>
            <w:pPr>
              <w:spacing w:after="0"/>
              <w:rPr>
                <w:sz w:val="18"/>
                <w:szCs w:val="18"/>
                <w:color w:val="auto"/>
              </w:rPr>
            </w:pPr>
          </w:p>
        </w:tc>
      </w:tr>
      <w:tr>
        <w:trPr>
          <w:trHeight w:val="210"/>
        </w:trPr>
        <w:tc>
          <w:tcPr>
            <w:tcW w:w="1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 13. Retirement Plans</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58</w:t>
            </w:r>
          </w:p>
        </w:tc>
        <w:tc>
          <w:tcPr>
            <w:tcW w:w="60" w:type="dxa"/>
            <w:vAlign w:val="bottom"/>
          </w:tcPr>
          <w:p>
            <w:pPr>
              <w:spacing w:after="0"/>
              <w:rPr>
                <w:sz w:val="18"/>
                <w:szCs w:val="18"/>
                <w:color w:val="auto"/>
              </w:rPr>
            </w:pPr>
          </w:p>
        </w:tc>
      </w:tr>
      <w:tr>
        <w:trPr>
          <w:trHeight w:val="209"/>
        </w:trPr>
        <w:tc>
          <w:tcPr>
            <w:tcW w:w="1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 14. Income Taxes</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61</w:t>
            </w:r>
          </w:p>
        </w:tc>
        <w:tc>
          <w:tcPr>
            <w:tcW w:w="60" w:type="dxa"/>
            <w:vAlign w:val="bottom"/>
          </w:tcPr>
          <w:p>
            <w:pPr>
              <w:spacing w:after="0"/>
              <w:rPr>
                <w:sz w:val="18"/>
                <w:szCs w:val="18"/>
                <w:color w:val="auto"/>
              </w:rPr>
            </w:pPr>
          </w:p>
        </w:tc>
      </w:tr>
      <w:tr>
        <w:trPr>
          <w:trHeight w:val="210"/>
        </w:trPr>
        <w:tc>
          <w:tcPr>
            <w:tcW w:w="1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 15. Accumulated Other Comprehensive Income (Loss)</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63</w:t>
            </w:r>
          </w:p>
        </w:tc>
        <w:tc>
          <w:tcPr>
            <w:tcW w:w="60" w:type="dxa"/>
            <w:vAlign w:val="bottom"/>
          </w:tcPr>
          <w:p>
            <w:pPr>
              <w:spacing w:after="0"/>
              <w:rPr>
                <w:sz w:val="18"/>
                <w:szCs w:val="18"/>
                <w:color w:val="auto"/>
              </w:rPr>
            </w:pPr>
          </w:p>
        </w:tc>
      </w:tr>
      <w:tr>
        <w:trPr>
          <w:trHeight w:val="210"/>
        </w:trPr>
        <w:tc>
          <w:tcPr>
            <w:tcW w:w="1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 16. Fair Value Measurements</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64</w:t>
            </w:r>
          </w:p>
        </w:tc>
        <w:tc>
          <w:tcPr>
            <w:tcW w:w="60" w:type="dxa"/>
            <w:vAlign w:val="bottom"/>
          </w:tcPr>
          <w:p>
            <w:pPr>
              <w:spacing w:after="0"/>
              <w:rPr>
                <w:sz w:val="18"/>
                <w:szCs w:val="18"/>
                <w:color w:val="auto"/>
              </w:rPr>
            </w:pPr>
          </w:p>
        </w:tc>
      </w:tr>
      <w:tr>
        <w:trPr>
          <w:trHeight w:val="209"/>
        </w:trPr>
        <w:tc>
          <w:tcPr>
            <w:tcW w:w="1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 17. Litigation and Contingencies</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64</w:t>
            </w:r>
          </w:p>
        </w:tc>
        <w:tc>
          <w:tcPr>
            <w:tcW w:w="60" w:type="dxa"/>
            <w:vAlign w:val="bottom"/>
          </w:tcPr>
          <w:p>
            <w:pPr>
              <w:spacing w:after="0"/>
              <w:rPr>
                <w:sz w:val="18"/>
                <w:szCs w:val="18"/>
                <w:color w:val="auto"/>
              </w:rPr>
            </w:pPr>
          </w:p>
        </w:tc>
      </w:tr>
      <w:tr>
        <w:trPr>
          <w:trHeight w:val="210"/>
        </w:trPr>
        <w:tc>
          <w:tcPr>
            <w:tcW w:w="1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 18. Business Segments</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67</w:t>
            </w:r>
          </w:p>
        </w:tc>
        <w:tc>
          <w:tcPr>
            <w:tcW w:w="60" w:type="dxa"/>
            <w:vAlign w:val="bottom"/>
          </w:tcPr>
          <w:p>
            <w:pPr>
              <w:spacing w:after="0"/>
              <w:rPr>
                <w:sz w:val="18"/>
                <w:szCs w:val="18"/>
                <w:color w:val="auto"/>
              </w:rPr>
            </w:pPr>
          </w:p>
        </w:tc>
      </w:tr>
      <w:tr>
        <w:trPr>
          <w:trHeight w:val="210"/>
        </w:trPr>
        <w:tc>
          <w:tcPr>
            <w:tcW w:w="1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 19. Variable Interest Entities and Related Party Transactions</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69</w:t>
            </w:r>
          </w:p>
        </w:tc>
        <w:tc>
          <w:tcPr>
            <w:tcW w:w="60" w:type="dxa"/>
            <w:vAlign w:val="bottom"/>
          </w:tcPr>
          <w:p>
            <w:pPr>
              <w:spacing w:after="0"/>
              <w:rPr>
                <w:sz w:val="18"/>
                <w:szCs w:val="18"/>
                <w:color w:val="auto"/>
              </w:rPr>
            </w:pPr>
          </w:p>
        </w:tc>
      </w:tr>
      <w:tr>
        <w:trPr>
          <w:trHeight w:val="210"/>
        </w:trPr>
        <w:tc>
          <w:tcPr>
            <w:tcW w:w="1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 20. Divestitures and Assets and Liabilities Held for Sale</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70</w:t>
            </w:r>
          </w:p>
        </w:tc>
        <w:tc>
          <w:tcPr>
            <w:tcW w:w="60" w:type="dxa"/>
            <w:vAlign w:val="bottom"/>
          </w:tcPr>
          <w:p>
            <w:pPr>
              <w:spacing w:after="0"/>
              <w:rPr>
                <w:sz w:val="18"/>
                <w:szCs w:val="18"/>
                <w:color w:val="auto"/>
              </w:rPr>
            </w:pPr>
          </w:p>
        </w:tc>
      </w:tr>
      <w:tr>
        <w:trPr>
          <w:trHeight w:val="479"/>
        </w:trPr>
        <w:tc>
          <w:tcPr>
            <w:tcW w:w="1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Reports of Independent Registered Public Accounting Firm (PCAOB ID: 42)</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73</w:t>
            </w:r>
          </w:p>
        </w:tc>
        <w:tc>
          <w:tcPr>
            <w:tcW w:w="60" w:type="dxa"/>
            <w:vAlign w:val="bottom"/>
          </w:tcPr>
          <w:p>
            <w:pPr>
              <w:spacing w:after="0"/>
              <w:rPr>
                <w:sz w:val="24"/>
                <w:szCs w:val="24"/>
                <w:color w:val="auto"/>
              </w:rPr>
            </w:pPr>
          </w:p>
        </w:tc>
      </w:tr>
      <w:tr>
        <w:trPr>
          <w:trHeight w:val="885"/>
        </w:trPr>
        <w:tc>
          <w:tcPr>
            <w:tcW w:w="110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35</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110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5" w:name="page36"/>
    <w:bookmarkEnd w:id="3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WOLVERINE WORLD WIDE,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Fiscal Year</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 except per share data)</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jc w:val="right"/>
              <w:ind w:right="531"/>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tcPr>
          <w:p>
            <w:pPr>
              <w:jc w:val="right"/>
              <w:ind w:right="532"/>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jc w:val="right"/>
              <w:ind w:right="531"/>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020" w:type="dxa"/>
            <w:vAlign w:val="bottom"/>
            <w:tcBorders>
              <w:top w:val="single" w:sz="8" w:color="auto"/>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2,684.8</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3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1,614.4</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businesses, trademarks and long-lived 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Environmental and other related costs (income), net of recoveries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profit (loss)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63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other expenses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(loss) before income taxes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3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(loss)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3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net earnings (loss) attributable to noncontrolling interests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(loss) attributable to Wolverine World Wide, Inc.</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3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Net earnings (loss) per share (see Note 3):</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63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7" w:right="39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WOLVERINE WORLD WIDE,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Fiscal Year</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8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(loss)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0" w:type="dxa"/>
            <w:vAlign w:val="bottom"/>
          </w:tcPr>
          <w:p>
            <w:pPr>
              <w:spacing w:after="0"/>
              <w:rPr>
                <w:sz w:val="1"/>
                <w:szCs w:val="1"/>
                <w:color w:val="auto"/>
              </w:rPr>
            </w:pP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0" w:type="dxa"/>
            <w:vAlign w:val="bottom"/>
          </w:tcPr>
          <w:p>
            <w:pPr>
              <w:spacing w:after="0"/>
              <w:rPr>
                <w:sz w:val="1"/>
                <w:szCs w:val="1"/>
                <w:color w:val="auto"/>
              </w:rPr>
            </w:pPr>
          </w:p>
        </w:tc>
      </w:tr>
      <w:tr>
        <w:trPr>
          <w:trHeight w:val="230"/>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gain (loss) on derivative instruments: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gain (loss) arising during the period, net of taxes of $4.4, $(1.4) and $7.9</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176"/>
        </w:trPr>
        <w:tc>
          <w:tcPr>
            <w:tcW w:w="682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Reclassification adjustments included in net earnings (loss), net of taxes of $(1.2), $(4.6)</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 $(4.7)</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Pension adjustments: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actuarial gain (loss) arising during the period, net of taxes of $0.8, $(2.0) and $6.3</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prior actuarial losses, net of taxes of $(0.3), $(0.2) and $2.4</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30"/>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Curtailment gain, net of taxes of $0.3</w:t>
            </w: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Settlement loss, net of taxes of $0.3</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other comprehensive income (loss) attributable to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3"/>
        </w:trPr>
        <w:tc>
          <w:tcPr>
            <w:tcW w:w="6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comprehensive loss attributable to Wolverine World Wide, Inc.</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56"/>
        </w:trPr>
        <w:tc>
          <w:tcPr>
            <w:tcW w:w="68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Wolverine World Wide, Inc.</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WOLVERINE WORLD WIDE,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 except share data)</w:t>
            </w:r>
          </w:p>
        </w:tc>
        <w:tc>
          <w:tcPr>
            <w:tcW w:w="220" w:type="dxa"/>
            <w:vAlign w:val="bottom"/>
          </w:tcPr>
          <w:p>
            <w:pPr>
              <w:spacing w:after="0"/>
              <w:rPr>
                <w:sz w:val="13"/>
                <w:szCs w:val="13"/>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December 28,</w:t>
            </w:r>
          </w:p>
        </w:tc>
        <w:tc>
          <w:tcPr>
            <w:tcW w:w="220" w:type="dxa"/>
            <w:vAlign w:val="bottom"/>
          </w:tcPr>
          <w:p>
            <w:pPr>
              <w:spacing w:after="0"/>
              <w:rPr>
                <w:sz w:val="13"/>
                <w:szCs w:val="13"/>
                <w:color w:val="auto"/>
              </w:rPr>
            </w:pPr>
          </w:p>
        </w:tc>
        <w:tc>
          <w:tcPr>
            <w:tcW w:w="122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December 30,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2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right"/>
              <w:ind w:right="491"/>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right"/>
              <w:ind w:right="491"/>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800" w:type="dxa"/>
            <w:vAlign w:val="bottom"/>
            <w:tcBorders>
              <w:top w:val="single" w:sz="8" w:color="auto"/>
              <w:bottom w:val="single" w:sz="8" w:color="CCEEFF"/>
            </w:tcBorders>
          </w:tcPr>
          <w:p>
            <w:pPr>
              <w:spacing w:after="0"/>
              <w:rPr>
                <w:sz w:val="2"/>
                <w:szCs w:val="2"/>
                <w:color w:val="auto"/>
              </w:rPr>
            </w:pPr>
          </w:p>
        </w:tc>
        <w:tc>
          <w:tcPr>
            <w:tcW w:w="6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Accounts receivable, less allowances of $8.9 and $18.3</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Finished products, net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22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Raw materials and work-in-process, net</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inventories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assets held for sale</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688.5</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 of $232.3 and $255.2</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right-of-use assets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Indefinite-lived intangibles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Amortizable intangibles, net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6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shd w:val="clear" w:color="auto" w:fill="CCEEFF"/>
          </w:tcPr>
          <w:p>
            <w:pPr>
              <w:spacing w:after="0"/>
              <w:rPr>
                <w:sz w:val="6"/>
                <w:szCs w:val="6"/>
                <w:color w:val="auto"/>
              </w:rPr>
            </w:pPr>
          </w:p>
        </w:tc>
        <w:tc>
          <w:tcPr>
            <w:tcW w:w="1800" w:type="dxa"/>
            <w:vAlign w:val="bottom"/>
            <w:shd w:val="clear" w:color="auto" w:fill="CCEEFF"/>
          </w:tcPr>
          <w:p>
            <w:pPr>
              <w:spacing w:after="0"/>
              <w:rPr>
                <w:sz w:val="6"/>
                <w:szCs w:val="6"/>
                <w:color w:val="auto"/>
              </w:rPr>
            </w:pPr>
          </w:p>
        </w:tc>
        <w:tc>
          <w:tcPr>
            <w:tcW w:w="64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salaries and wages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Lease liabilities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Borrowings under revolving credit agreements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Current liabilities held for sale</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8220" w:type="dxa"/>
            <w:vAlign w:val="bottom"/>
            <w:tcBorders>
              <w:top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 less current maturities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pension liabilities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Common stock – par value $1, authorized 320,000,000 shares; 113,721,605, and 112,953,782 shares issued</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22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Cost of shares in treasury; 33,392,585, and 33,403,280 shares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Wolverine World Wide, Inc. stockholders’ equity</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2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WOLVERINE WORLD WIDE,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Fiscal Year</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ind w:right="450"/>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ind w:right="431"/>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ind w:right="430"/>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6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earnings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70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Adjustments to reconcile net earnings (loss) to net cash provided by (used in) operating</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activities:</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Pension and SERP expense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Environmental and other related costs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Gain on sale of businesses, trademarks and long-lived assets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Other operating assets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Income taxes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000" w:type="dxa"/>
            <w:vAlign w:val="bottom"/>
            <w:tcBorders>
              <w:bottom w:val="single" w:sz="8" w:color="CCEEFF"/>
            </w:tcBorders>
            <w:gridSpan w:val="2"/>
          </w:tcPr>
          <w:p>
            <w:pPr>
              <w:ind w:left="540"/>
              <w:spacing w:after="0"/>
              <w:rPr>
                <w:sz w:val="20"/>
                <w:szCs w:val="20"/>
                <w:color w:val="auto"/>
              </w:rPr>
            </w:pPr>
            <w:r>
              <w:rPr>
                <w:rFonts w:ascii="Times New Roman" w:cs="Times New Roman" w:eastAsia="Times New Roman" w:hAnsi="Times New Roman"/>
                <w:sz w:val="18"/>
                <w:szCs w:val="18"/>
                <w:color w:val="auto"/>
              </w:rPr>
              <w:t>Other operating liabilities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in joint ventures</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businesses, intangible assets and other assets, net of cash disposed of</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company-owned life insurance policy liquidations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Payments under revolving credit agreements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 under revolving credit agreements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company-owned life insurance policies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long-term debt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Payments of debt issuance and debt extinguishment costs</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paid</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of common stock for treasury</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taxes paid under stock-based compensation plans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Contributions from noncontrolling interests</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exchange rate changes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the year</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end of the year</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WOLVERINE WORLD WIDE,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 continued</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Fiscal Year</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ind w:right="435"/>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right"/>
              <w:ind w:right="437"/>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ind w:right="435"/>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6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CASH FLOW INFORMATION</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taxes paid</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ACTIVITY</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to property, plant and equipment not yet paid</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Cash and cash equivalents as of December 30, 2023 in the Consolidated Statements of Cash Flows includes $5.6 million of cash and cash equivalents that are classified as held for sale that are not included in cash and cash equivalents in the Consolidated Balance Sheets.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WOLVERINE WORLD WIDE,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6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Wolverine World Wide, Inc. Stockholders' Equity</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 except share and per share data)</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80" w:type="dxa"/>
            <w:vAlign w:val="bottom"/>
          </w:tcPr>
          <w:p>
            <w:pPr>
              <w:spacing w:after="0"/>
              <w:rPr>
                <w:sz w:val="12"/>
                <w:szCs w:val="12"/>
                <w:color w:val="auto"/>
              </w:rPr>
            </w:pPr>
          </w:p>
        </w:tc>
        <w:tc>
          <w:tcPr>
            <w:tcW w:w="68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2"/>
                <w:szCs w:val="12"/>
                <w:color w:val="auto"/>
              </w:rPr>
            </w:pPr>
          </w:p>
        </w:tc>
        <w:tc>
          <w:tcPr>
            <w:tcW w:w="9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600" w:type="dxa"/>
            <w:vAlign w:val="bottom"/>
            <w:tcBorders>
              <w:top w:val="single" w:sz="8" w:color="auto"/>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Shares issued, net of shares forfeited under stock</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incentive plans (495,502 shares)</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8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Shares issued for stock options exercised, net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(74,482 shares)</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declared ($0.40 per share)</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treasury shares (5,973 shares)</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8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Purchase of common stock for treasury (3,815,164</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contribution from noncontrolling interests</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38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(891.3)</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(loss)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8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Shares issued, net of shares forfeited under stock</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incentive plans (745,662 shares)</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Shares issued for stock options exercised, net (6,042</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dividends declared ($0.40 per share)</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treasury shares (9,924 shares)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8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Capital contribution from noncontrolling interests</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30, 2023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1" w:name="page42"/>
    <w:bookmarkEnd w:id="41"/>
    <w:p>
      <w:pPr>
        <w:ind w:left="3320"/>
        <w:spacing w:after="0"/>
        <w:rPr>
          <w:sz w:val="20"/>
          <w:szCs w:val="20"/>
          <w:color w:val="auto"/>
        </w:rPr>
      </w:pPr>
      <w:r>
        <w:rPr>
          <w:rFonts w:ascii="Times New Roman" w:cs="Times New Roman" w:eastAsia="Times New Roman" w:hAnsi="Times New Roman"/>
          <w:sz w:val="18"/>
          <w:szCs w:val="18"/>
          <w:b w:val="1"/>
          <w:bCs w:val="1"/>
          <w:color w:val="auto"/>
        </w:rPr>
        <w:t>WOLVERINE WORLD WIDE, INC. AND SUBSIDIARIES</w:t>
      </w:r>
    </w:p>
    <w:p>
      <w:pPr>
        <w:spacing w:after="0" w:line="3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 continued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34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Wolverine World Wide, Inc. Stockholders' Equity</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 except share and per share data)</w:t>
            </w: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80" w:type="dxa"/>
            <w:vAlign w:val="bottom"/>
          </w:tcPr>
          <w:p>
            <w:pPr>
              <w:spacing w:after="0"/>
              <w:rPr>
                <w:sz w:val="12"/>
                <w:szCs w:val="12"/>
                <w:color w:val="auto"/>
              </w:rPr>
            </w:pPr>
          </w:p>
        </w:tc>
        <w:tc>
          <w:tcPr>
            <w:tcW w:w="68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Pr>
          <w:p>
            <w:pPr>
              <w:spacing w:after="0"/>
              <w:rPr>
                <w:sz w:val="12"/>
                <w:szCs w:val="12"/>
                <w:color w:val="auto"/>
              </w:rPr>
            </w:pPr>
          </w:p>
        </w:tc>
        <w:tc>
          <w:tcPr>
            <w:tcW w:w="8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600" w:type="dxa"/>
            <w:vAlign w:val="bottom"/>
            <w:tcBorders>
              <w:top w:val="single" w:sz="8" w:color="auto"/>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30, 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Shares issued, net of shares forfeited under stock</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incentive plans (579,868 shares)</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8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Shares issued for stock options exercised, net</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(187,955 shares)</w:t>
            </w: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declared ($0.40 per share)</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treasury shares (10,695 shares)</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Divestiture</w:t>
            </w: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December 28, 2024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382.7</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(890.8)</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WOLVERINE WORLD WIDE,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Fiscal Years 2024, 2023 and 2022</w:t>
      </w:r>
    </w:p>
    <w:p>
      <w:pPr>
        <w:spacing w:after="0" w:line="117" w:lineRule="exact"/>
        <w:rPr>
          <w:sz w:val="20"/>
          <w:szCs w:val="20"/>
          <w:color w:val="auto"/>
        </w:rPr>
      </w:pPr>
    </w:p>
    <w:p>
      <w:pPr>
        <w:ind w:right="6220" w:firstLine="8"/>
        <w:spacing w:after="0" w:line="354" w:lineRule="auto"/>
        <w:tabs>
          <w:tab w:leader="none" w:pos="324"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Nature of Operations</w:t>
      </w:r>
    </w:p>
    <w:p>
      <w:pPr>
        <w:spacing w:after="0" w:line="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 xml:space="preserve">Wolverine World Wide, Inc. (the “Company”) is a leading designer, marketer and licensor of a broad range of quality casual footwear and apparel; performance outdoor and athletic footwear and apparel; kids’ footwear; industrial work shoes, boots and apparel; and uniform shoes and boots. The Company’s portfolio of owned and licensed brands includes: </w:t>
      </w:r>
      <w:r>
        <w:rPr>
          <w:rFonts w:ascii="Times New Roman" w:cs="Times New Roman" w:eastAsia="Times New Roman" w:hAnsi="Times New Roman"/>
          <w:sz w:val="18"/>
          <w:szCs w:val="18"/>
          <w:i w:val="1"/>
          <w:iCs w:val="1"/>
          <w:color w:val="auto"/>
        </w:rPr>
        <w:t>Bates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Harley-Davidson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Hush Puppies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HYTEST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Merrell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Saucony</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Stride Rite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Sweaty Betty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Wolverine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 Company’s products are marketed worldwide through owned operations, through licensing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arrangements with third parties, and through joint ventures. The Company also operates retail stores and eCommerce sites to market both its own brands and branded footwear and apparel from other manufacturers.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Effective February 4, 2023, the Company completed the sale of the </w:t>
      </w:r>
      <w:r>
        <w:rPr>
          <w:rFonts w:ascii="Times New Roman" w:cs="Times New Roman" w:eastAsia="Times New Roman" w:hAnsi="Times New Roman"/>
          <w:sz w:val="18"/>
          <w:szCs w:val="18"/>
          <w:i w:val="1"/>
          <w:iCs w:val="1"/>
          <w:color w:val="auto"/>
        </w:rPr>
        <w:t>Keds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business. See Note 20 for further discussion.</w:t>
      </w:r>
    </w:p>
    <w:p>
      <w:pPr>
        <w:spacing w:after="0" w:line="114"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8"/>
          <w:szCs w:val="18"/>
          <w:color w:val="auto"/>
        </w:rPr>
        <w:t xml:space="preserve">In the third quarter of fiscal 2023, the Company entered into a multi-year licensing agreement of the </w:t>
      </w:r>
      <w:r>
        <w:rPr>
          <w:rFonts w:ascii="Times New Roman" w:cs="Times New Roman" w:eastAsia="Times New Roman" w:hAnsi="Times New Roman"/>
          <w:sz w:val="18"/>
          <w:szCs w:val="18"/>
          <w:i w:val="1"/>
          <w:iCs w:val="1"/>
          <w:color w:val="auto"/>
        </w:rPr>
        <w:t>Hush Puppies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in the United States and Canada and completed the sale of the </w:t>
      </w:r>
      <w:r>
        <w:rPr>
          <w:rFonts w:ascii="Times New Roman" w:cs="Times New Roman" w:eastAsia="Times New Roman" w:hAnsi="Times New Roman"/>
          <w:sz w:val="18"/>
          <w:szCs w:val="18"/>
          <w:i w:val="1"/>
          <w:iCs w:val="1"/>
          <w:color w:val="auto"/>
        </w:rPr>
        <w:t>Hush Puppies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trademarks, patents, copyrights, and domains in China, Hong Kong, and Macau. The Company continues to own the </w:t>
      </w:r>
      <w:r>
        <w:rPr>
          <w:rFonts w:ascii="Times New Roman" w:cs="Times New Roman" w:eastAsia="Times New Roman" w:hAnsi="Times New Roman"/>
          <w:sz w:val="18"/>
          <w:szCs w:val="18"/>
          <w:i w:val="1"/>
          <w:iCs w:val="1"/>
          <w:color w:val="auto"/>
        </w:rPr>
        <w:t>Hush Puppies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throughout the rest of the world. See Note 20 for further discussion.</w:t>
      </w:r>
    </w:p>
    <w:p>
      <w:pPr>
        <w:spacing w:after="0" w:line="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Effective August 23, 2023, the Company completed the sale of the U.S. Leathers business and effective December 28, 2023, the Company completed the sale of the Asia-based Leathers business. See Note 20 for further discussion.</w:t>
      </w:r>
    </w:p>
    <w:p>
      <w:pPr>
        <w:spacing w:after="0" w:line="102"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 xml:space="preserve">Effective January 1, 2024, the Company completed the sale of the Company’s equity interests in joint venture entities that sourced and marketed </w:t>
      </w:r>
      <w:r>
        <w:rPr>
          <w:rFonts w:ascii="Times New Roman" w:cs="Times New Roman" w:eastAsia="Times New Roman" w:hAnsi="Times New Roman"/>
          <w:sz w:val="18"/>
          <w:szCs w:val="18"/>
          <w:i w:val="1"/>
          <w:iCs w:val="1"/>
          <w:color w:val="auto"/>
        </w:rPr>
        <w:t>Merrell</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Saucony</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footwear and apparel products in China. See Note 20 for further discussion.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Effective January 10, 2024, the Company completed the sale of the </w:t>
      </w:r>
      <w:r>
        <w:rPr>
          <w:rFonts w:ascii="Times New Roman" w:cs="Times New Roman" w:eastAsia="Times New Roman" w:hAnsi="Times New Roman"/>
          <w:sz w:val="18"/>
          <w:szCs w:val="18"/>
          <w:i w:val="1"/>
          <w:iCs w:val="1"/>
          <w:color w:val="auto"/>
        </w:rPr>
        <w:t>Sperry</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business. See Note 20 for further discussion.</w:t>
      </w:r>
    </w:p>
    <w:p>
      <w:pPr>
        <w:spacing w:after="0" w:line="114"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 xml:space="preserve">Effective May 4, 2024, the Company entered into global multi-year licensing agreements of the </w:t>
      </w:r>
      <w:r>
        <w:rPr>
          <w:rFonts w:ascii="Times New Roman" w:cs="Times New Roman" w:eastAsia="Times New Roman" w:hAnsi="Times New Roman"/>
          <w:sz w:val="18"/>
          <w:szCs w:val="18"/>
          <w:i w:val="1"/>
          <w:iCs w:val="1"/>
          <w:color w:val="auto"/>
        </w:rPr>
        <w:t>Merrell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Saucony</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kids footwear and </w:t>
      </w:r>
      <w:r>
        <w:rPr>
          <w:rFonts w:ascii="Times New Roman" w:cs="Times New Roman" w:eastAsia="Times New Roman" w:hAnsi="Times New Roman"/>
          <w:sz w:val="18"/>
          <w:szCs w:val="18"/>
          <w:i w:val="1"/>
          <w:iCs w:val="1"/>
          <w:color w:val="auto"/>
        </w:rPr>
        <w:t>Merrell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apparel and accessories.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 and Basis of Presentation</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Wolverine World Wide, Inc. and its majority-owned subsidiaries (collectively, the “Company”) and any variable interest entities for which we are the primary beneficiary. All intercompany accounts and transactions have been eliminated in consolidation.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fiscal year is the 52- or 53-week period that ends on the Saturday nearest to December 31. Fiscal years 2024, 2023 and 2022 each had 52 weeks.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the consolidated financial statements and accompanying notes. Actual results could differ from those estimates.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Financial Accounting Standards Board ("FASB") Accounting Standards Codification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Revenue is recognized upon the transfer of promised goods or services to customers, in an amount that reflects the expected consideration to be received in exchange for those goods or services. The Company identifies the performance obligation in the contract, determines the transaction price, allocates the transaction price to the performance obligations and recognizes revenue upon completion of the performance obligation.</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Control of the Company's goods and services, and associated revenue, are transferred to customers at a point in time. The Company’s contract revenue consists of wholesale revenue and direct-to-consumer revenue. Wholesale revenue is recognized for products sourced by the Company when control transfers to the customer generally occurring upon the shipment or delivery of branded products to the customer. Direct-to-consumer includes eCommerce revenue that is recognized for products sourced by the Company when control transfers to the customer once the related goods have been shipped and retail store revenue is</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43" w:name="page44"/>
    <w:bookmarkEnd w:id="43"/>
    <w:p>
      <w:pPr>
        <w:jc w:val="both"/>
        <w:spacing w:after="0" w:line="266" w:lineRule="auto"/>
        <w:rPr>
          <w:sz w:val="20"/>
          <w:szCs w:val="20"/>
          <w:color w:val="auto"/>
        </w:rPr>
      </w:pPr>
      <w:r>
        <w:rPr>
          <w:rFonts w:ascii="Times New Roman" w:cs="Times New Roman" w:eastAsia="Times New Roman" w:hAnsi="Times New Roman"/>
          <w:sz w:val="18"/>
          <w:szCs w:val="18"/>
          <w:color w:val="auto"/>
        </w:rPr>
        <w:t>recognized at time of sale. The shipment of goods, or point of purchase for retail store sales, was evaluated to best represent when control transfers based on the Company’s right of payment for the goods, the customer’s legal title to the asset, the transfer of physical possession and the customer having the risks and rewards of the goods.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is recognized net of any taxes collected from customers, which are subsequently remitted to governmental authorities. Shipping and handling costs that are charged to and reimbursed by a customer are recognized as revenue, while the related expenses incurred by the Company are recorded as cost of goods sold. The Company has elected the practical expedient to treat shipping and handling activities that occur after control of the goods transfers to the customer as fulfillment activities.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Payment terms for the Company's revenue vary by sales channel. Standard credit terms apply to the Company's wholesale receivables, while payment is rendered at the time of sale within the direct-to-consumer channel. The timing of revenue recognition, billings and cash collections results in billed accounts receivable and customer advances (contract liabilities) on the consolidated balance sheets. Generally, billing occurs commensurate to revenue recognition resulting in contract assets. See Note 6 for additional information.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goods sold includes the actual product costs, including inbound freight charges and certain outbound freight charges, purchasing, sourcing, inspection and receiving costs. Warehousing costs are included in selling, general and administrative expenses.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Costs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Advertising costs are expensed as incurred, except for certain materials that are expensed the first time that the advertising takes place. Advertising expenses were $140.3 million, $169.3 million and $220.7 million for fiscal years 2024, 2023 and 2022, respectively. Prepaid advertising totaled $1.3 million and $2.6 million as of December 28, 2024 and December 30, 2023,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calculates earnings per share in accordance with FASB ASC Topic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(“ASC 260”). ASC 260 addresses whether instruments granted in share-based payment transactions are participating securities prior to vesting, and, therefore, need to be included in the earnings allocation in computing earnings per share under the two-class method. Under the guidance in ASC 260, the Company’s unvested share-based payment awards that contain non-forfeitable rights to dividends, whether paid or unpaid, are participating securities and must be included in the computation of earnings per share pursuant to the two-class method.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Equivalents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equivalents include highly liquid investments with an original maturity of three months or less. Cash equivalents are stated at cost, which approximates fair value.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maintains an allowance for credit losses on accounts receivable that represents estimated losses resulting from its customers’ failure to make required payments. Company management evaluates the allowance for credit losses based on a review of current customer status and historical collection experience along with current and reasonable supportable forecasts of future economic conditions.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values its inventory at the lower of cost or net realizable value. Cost is determined by the LIFO method for certain domestic finished product inventories. Cost is determined using the FIFO method for all raw materials, work-in-process and finished product inventories in foreign countries and certain domestic finished product inventories. The average cost of inventory is used for finished product inventories of the Company’s U.S. retail store business inventory. The Company has applied these inventory cost valuation methods consistently from year to year.</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reduces the carrying value of its inventories to the lower of cost or net realizable value for excess or obsolete inventories based upon assumptions about future demand and market conditions. If the Company were to determine that the estimated realizable value of its inventory is less than the carrying value of such inventory, the Company would provide a reserve for such difference as a charge to cost of sales. If actual market conditions are different from those projected, adjustments to those inventory reserves may be required. The adjustments would increase or decrease the Company’s cost of sales and net income in the period in which they were realized or recorded. Inventory quantities are verified at various times throughout the year by performing physical inventory counts and subsequently comparing those results to perpetual inventory</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4" w:name="page45"/>
    <w:bookmarkEnd w:id="44"/>
    <w:p>
      <w:pPr>
        <w:jc w:val="both"/>
        <w:spacing w:after="0" w:line="282" w:lineRule="auto"/>
        <w:rPr>
          <w:sz w:val="20"/>
          <w:szCs w:val="20"/>
          <w:color w:val="auto"/>
        </w:rPr>
      </w:pPr>
      <w:r>
        <w:rPr>
          <w:rFonts w:ascii="Times New Roman" w:cs="Times New Roman" w:eastAsia="Times New Roman" w:hAnsi="Times New Roman"/>
          <w:sz w:val="18"/>
          <w:szCs w:val="18"/>
          <w:color w:val="auto"/>
        </w:rPr>
        <w:t>balances. If the Company determines that adjustments to the inventory quantities are appropriate, an adjustment to the Company’s cost of goods sold and inventory is recorded in the period in which such determination was made.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Property, plant and equipment are stated on the basis of cost and include expenditures for buildings, leasehold improvements, furniture and fixtures, material handling systems, equipment and computer hardware and software. Normal repairs and maintenance are expensed as incurred. Depreciation of property, plant and equipment is computed using the straight-line method. The depreciable lives range from 14 to 20 years for buildings, from 5 to 15 years for leasehold improvements, from 3 to 10 years for furniture, fixtures and equipment and from 3 to 10 years for software.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leases consist primarily of corporate offices, retail stores, distribution centers, showrooms, vehicles and office equipment. The Company leases assets in the normal course of business to meet its current and future needs while providing flexibility to its operations. The Company enters into contracts with third parties to lease specifically identified assets. Most of the Company’s leases have contractually specified renewal periods. Most retail store leases have early termination clauses that the Company can elect if stipulated sales amounts are not achieved. The Company determines the lease term for each lease based on the terms of each contract and factors in renewal and early termination options if such options are reasonably certain to be exercised.</w:t>
      </w:r>
    </w:p>
    <w:p>
      <w:pPr>
        <w:spacing w:after="0" w:line="1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Under FASB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Company has elected the practical expedient to account for lease components and nonlease components associated with individual leases as a single lease component for all of its leases. In addition, the Company has elected to account for multiple lease components as a single lease component. The Company’s leases may include variable lease costs such as payments based on changes to an index, payments based on a percentage of retail store sales, and maintenance, utilities, shared marketing or other service costs that are paid directly to the lessor under terms of the lease. The Company recognizes variable lease payments when the amounts are incurred and determinable. The Company has elected to account for leases of less than one year as short-term leases and accordingly does not recognize a right-of-use asset or lease liability for these leases. The Company recognizes rent expense on a straight-line basis over the lease term.</w:t>
      </w:r>
    </w:p>
    <w:p>
      <w:pPr>
        <w:spacing w:after="0" w:line="1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subleases certain portions of leased offices and distribution centers that exceed the Company’s current operational needs. Since the Company utilizes the majority of the leased space and retains the obligation to the lessor, the underlying leases continue to be accounted for as operating leases. Sublease income is recognized on a straight-line basis over the term of the sublease and is recognized in other expense (income), net on the consolidated statements of operations.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recognizes a lease liability in current and noncurrent liabilities equal to the present value of the fixed future lease payments using an incremental borrowing rate as of the commencement date of each lease. The incremental borrowing rate is based on an interest rate that the Company would normally pay to borrow on a collateralized basis over a similar term and an amount equal to the lease payments. The Company also recognizes a right-of-use asset, which is equal to the lease liability as of December 28, 2024 adjusted for the remaining balance of accrued rent and unamortized lease incentives.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Financing Costs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Deferred financing costs represent commitment fees, legal and other third-party costs associated with obtaining commitments for financing that result in a closing of such financings for the Company. Deferred financing costs related to fixed term borrowings are recorded as a reduction of long-term debt in the consolidated balance sheet. Deferred financing costs related to revolving credit facilities are recorded as an other noncurrent asset in the consolidated balance sheet. These costs are amortized into earnings through interest expense over the terms of the respective agreements.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follows FASB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which requires that all derivative instruments be recorded on the consolidated balance sheets at fair value by establishing criteria for designation and effectiveness of hedging relationships. The Company does not hold or issue financial instruments for trading purposes. Refer to Note 11 for further discussion regarding the Company's derivative arrangements and derivative accounting.</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Other Intangibles</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net tangible and identifiable intangible assets of acquired businesses. Indefinite-lived intangibles include trademarks and trade names. Goodwill and intangible assets deemed to have indefinite lives are not amortized, but are subject to impairment tests at least annually. The Company reviews the carrying amounts of goodwill and indefinite-lived intangible assets by reporting unit at least annually, or when indicators of impairment are present, to determine if such assets may be impaired. The Company includes assumptions such as a discount rate and expected future operating performance, which includes forecasted revenue growth, earnings before interest, taxes, depreciation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5" w:name="page46"/>
    <w:bookmarkEnd w:id="45"/>
    <w:p>
      <w:pPr>
        <w:jc w:val="both"/>
        <w:spacing w:after="0" w:line="261" w:lineRule="auto"/>
        <w:rPr>
          <w:sz w:val="20"/>
          <w:szCs w:val="20"/>
          <w:color w:val="auto"/>
        </w:rPr>
      </w:pPr>
      <w:r>
        <w:rPr>
          <w:rFonts w:ascii="Times New Roman" w:cs="Times New Roman" w:eastAsia="Times New Roman" w:hAnsi="Times New Roman"/>
          <w:sz w:val="18"/>
          <w:szCs w:val="18"/>
          <w:color w:val="auto"/>
        </w:rPr>
        <w:t>and amortization ("EBITDA") margin and cost of capital, which are derived from internal projections and operating plans, as part of a discounted cash flow analysis to estimate fair value. If the carrying value of these assets is not recoverable, based on the discounted cash flow analysis, management compares the fair value of the assets to the carrying value. Goodwill and indefinite-lived intangibles are considered impaired if the recorded value exceeds the fair value.</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may first assess qualitative factors to determine whether it is more likely than not that the fair value of goodwill and indefinite-lived intangible asset are less than their carrying value. The Company would not be required to quantitatively determine the fair value unless the Company determines, based on the qualitative assessment, that it is more likely than not that its fair value is less than the carrying value.</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performs its annual testing for goodwill and indefinite-lived intangible asset impairment at the beginning of the fourth quarter of the fiscal year for all reporting units. See Note 4 for information related to the results of the Company's annual test.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reviews long-lived assets for impairment whenever events or changes in circumstances indicate that the carrying amount of an asset or an asset group may not be recoverable. Each impairment test is based on a comparison of the carrying amount of the asset or asset group to the future undiscounted net cash flows expected to be generated by the asset or asset group. If such assets are considered to be impaired, the impairment amount to be recognized is the amount by which the carrying value of the assets exceeds their fair value.</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2024, the Company incurred $6.1 million in non-cash impairment charges on the long-lived property, plant and equipment and lease right-of-use assets at the Company’s distribution center in Louisville, Kentucky to adjust the carrying amount of the assets to their estimated fair value. The Louisville distribution center impairment charges were related to the Company’s transformation activities and actions to consolidate distribution operations. The long-lived assets have no fair value after the Company stopped using the distribution center.</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incurred $3.2 million in 2024 and $37.3 million in 2023, respectively, in non-cash impairment charges on certain Corporate U.S., U.K. and Canada office long-lived property, plant and equipment and right-of-use assets, to adjust the carrying amount of the assets to estimated fair value. The impairment charges primarily resulted from divestiture activities and consolidation of corporate office space. Fair value was estimated based on the discounted cash flows of estimated rental income from subleases net of estimated expenses.</w:t>
      </w:r>
    </w:p>
    <w:p>
      <w:pPr>
        <w:spacing w:after="0" w:line="120"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 xml:space="preserve">In 2023, the Company incurred $1.9 million in non-cash impairment charges on certain </w:t>
      </w:r>
      <w:r>
        <w:rPr>
          <w:rFonts w:ascii="Times New Roman" w:cs="Times New Roman" w:eastAsia="Times New Roman" w:hAnsi="Times New Roman"/>
          <w:sz w:val="18"/>
          <w:szCs w:val="18"/>
          <w:i w:val="1"/>
          <w:iCs w:val="1"/>
          <w:color w:val="auto"/>
        </w:rPr>
        <w:t>Sperry</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retail store assets where the estimated future cash flows did not support the net book value of the assets.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details related to asset impairment charges recorded:</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9"/>
              </w:rPr>
              <w:t>(In millions)</w:t>
            </w:r>
          </w:p>
        </w:tc>
        <w:tc>
          <w:tcPr>
            <w:tcW w:w="7440" w:type="dxa"/>
            <w:vAlign w:val="bottom"/>
          </w:tcPr>
          <w:p>
            <w:pPr>
              <w:spacing w:after="0"/>
              <w:rPr>
                <w:sz w:val="13"/>
                <w:szCs w:val="13"/>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December 28,</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December 30,</w:t>
            </w:r>
          </w:p>
        </w:tc>
        <w:tc>
          <w:tcPr>
            <w:tcW w:w="0" w:type="dxa"/>
            <w:vAlign w:val="bottom"/>
          </w:tcPr>
          <w:p>
            <w:pPr>
              <w:spacing w:after="0"/>
              <w:rPr>
                <w:sz w:val="1"/>
                <w:szCs w:val="1"/>
                <w:color w:val="auto"/>
              </w:rPr>
            </w:pPr>
          </w:p>
        </w:tc>
      </w:tr>
      <w:tr>
        <w:trPr>
          <w:trHeight w:val="154"/>
        </w:trPr>
        <w:tc>
          <w:tcPr>
            <w:tcW w:w="720" w:type="dxa"/>
            <w:vAlign w:val="bottom"/>
            <w:tcBorders>
              <w:bottom w:val="single" w:sz="8" w:color="auto"/>
            </w:tcBorders>
            <w:vMerge w:val="continue"/>
          </w:tcPr>
          <w:p>
            <w:pPr>
              <w:spacing w:after="0"/>
              <w:rPr>
                <w:sz w:val="12"/>
                <w:szCs w:val="12"/>
                <w:color w:val="auto"/>
              </w:rPr>
            </w:pPr>
          </w:p>
        </w:tc>
        <w:tc>
          <w:tcPr>
            <w:tcW w:w="8980" w:type="dxa"/>
            <w:vAlign w:val="bottom"/>
            <w:gridSpan w:val="2"/>
          </w:tcPr>
          <w:p>
            <w:pPr>
              <w:jc w:val="right"/>
              <w:ind w:right="548"/>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1520" w:type="dxa"/>
            <w:vAlign w:val="bottom"/>
          </w:tcPr>
          <w:p>
            <w:pPr>
              <w:jc w:val="right"/>
              <w:ind w:right="548"/>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34"/>
        </w:trPr>
        <w:tc>
          <w:tcPr>
            <w:tcW w:w="7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Lease right-of-use assets impairment</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Property, plant and equipment 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line="236" w:lineRule="auto"/>
        <w:rPr>
          <w:sz w:val="20"/>
          <w:szCs w:val="20"/>
          <w:color w:val="auto"/>
        </w:rPr>
      </w:pPr>
      <w:r>
        <w:rPr>
          <w:rFonts w:ascii="Times New Roman" w:cs="Times New Roman" w:eastAsia="Times New Roman" w:hAnsi="Times New Roman"/>
          <w:sz w:val="18"/>
          <w:szCs w:val="18"/>
          <w:color w:val="auto"/>
        </w:rPr>
        <w:t xml:space="preserve">Indefinite-lived trade name impairment </w:t>
      </w:r>
      <w:r>
        <w:rPr>
          <w:rFonts w:ascii="Times New Roman" w:cs="Times New Roman" w:eastAsia="Times New Roman" w:hAnsi="Times New Roman"/>
          <w:sz w:val="23"/>
          <w:szCs w:val="23"/>
          <w:color w:val="auto"/>
          <w:vertAlign w:val="superscript"/>
        </w:rPr>
        <w:t>(1)</w:t>
      </w:r>
    </w:p>
    <w:p>
      <w:pPr>
        <w:ind w:left="20"/>
        <w:spacing w:after="0" w:line="218" w:lineRule="auto"/>
        <w:rPr>
          <w:sz w:val="20"/>
          <w:szCs w:val="20"/>
          <w:color w:val="auto"/>
        </w:rPr>
      </w:pPr>
      <w:r>
        <w:rPr>
          <w:rFonts w:ascii="Times New Roman" w:cs="Times New Roman" w:eastAsia="Times New Roman" w:hAnsi="Times New Roman"/>
          <w:sz w:val="17"/>
          <w:szCs w:val="17"/>
          <w:color w:val="auto"/>
        </w:rPr>
        <w:t xml:space="preserve">Held for sale impairment of carrying value </w:t>
      </w:r>
      <w:r>
        <w:rPr>
          <w:rFonts w:ascii="Times New Roman" w:cs="Times New Roman" w:eastAsia="Times New Roman" w:hAnsi="Times New Roman"/>
          <w:sz w:val="22"/>
          <w:szCs w:val="22"/>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line="218" w:lineRule="auto"/>
        <w:rPr>
          <w:sz w:val="20"/>
          <w:szCs w:val="20"/>
          <w:color w:val="auto"/>
        </w:rPr>
      </w:pPr>
      <w:r>
        <w:rPr>
          <w:rFonts w:ascii="Times New Roman" w:cs="Times New Roman" w:eastAsia="Times New Roman" w:hAnsi="Times New Roman"/>
          <w:sz w:val="18"/>
          <w:szCs w:val="18"/>
          <w:color w:val="auto"/>
        </w:rPr>
        <w:t xml:space="preserve">Impairment of </w:t>
      </w:r>
      <w:r>
        <w:rPr>
          <w:rFonts w:ascii="Times New Roman" w:cs="Times New Roman" w:eastAsia="Times New Roman" w:hAnsi="Times New Roman"/>
          <w:sz w:val="18"/>
          <w:szCs w:val="18"/>
          <w:i w:val="1"/>
          <w:iCs w:val="1"/>
          <w:color w:val="auto"/>
        </w:rPr>
        <w:t>Sperry</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assets not sold </w:t>
      </w:r>
      <w:r>
        <w:rPr>
          <w:rFonts w:ascii="Times New Roman" w:cs="Times New Roman" w:eastAsia="Times New Roman" w:hAnsi="Times New Roman"/>
          <w:sz w:val="23"/>
          <w:szCs w:val="23"/>
          <w:color w:val="auto"/>
          <w:vertAlign w:val="superscript"/>
        </w:rPr>
        <w:t>(2)</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impairment of long-lived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6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6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30"/>
        </w:trPr>
        <w:tc>
          <w:tcPr>
            <w:tcW w:w="6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29"/>
        </w:trPr>
        <w:tc>
          <w:tcPr>
            <w:tcW w:w="6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30"/>
        </w:trPr>
        <w:tc>
          <w:tcPr>
            <w:tcW w:w="6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r>
      <w:tr>
        <w:trPr>
          <w:trHeight w:val="234"/>
        </w:trPr>
        <w:tc>
          <w:tcPr>
            <w:tcW w:w="6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23"/>
        </w:trPr>
        <w:tc>
          <w:tcPr>
            <w:tcW w:w="6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6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w:t>
            </w:r>
          </w:p>
        </w:tc>
      </w:tr>
      <w:tr>
        <w:trPr>
          <w:trHeight w:val="20"/>
        </w:trPr>
        <w:tc>
          <w:tcPr>
            <w:tcW w:w="6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3" w:lineRule="exact"/>
        <w:rPr>
          <w:sz w:val="20"/>
          <w:szCs w:val="20"/>
          <w:color w:val="auto"/>
        </w:rPr>
      </w:pPr>
    </w:p>
    <w:p>
      <w:pPr>
        <w:sectPr>
          <w:pgSz w:w="11900" w:h="16838" w:orient="portrait"/>
          <w:cols w:equalWidth="0" w:num="2">
            <w:col w:w="7460" w:space="720"/>
            <w:col w:w="3060"/>
          </w:cols>
          <w:pgMar w:left="320" w:top="891" w:right="339" w:bottom="1440" w:gutter="0" w:footer="0" w:header="0"/>
          <w:type w:val="continuous"/>
        </w:sectPr>
      </w:pPr>
    </w:p>
    <w:p>
      <w:pPr>
        <w:ind w:left="320" w:hanging="312"/>
        <w:spacing w:after="0"/>
        <w:tabs>
          <w:tab w:leader="none" w:pos="32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Note 4 for information related to the Indefinite-lived trade name impairment charge recorded in fiscal 2023.</w:t>
      </w:r>
    </w:p>
    <w:p>
      <w:pPr>
        <w:spacing w:after="0" w:line="55" w:lineRule="exact"/>
        <w:rPr>
          <w:rFonts w:ascii="Times New Roman" w:cs="Times New Roman" w:eastAsia="Times New Roman" w:hAnsi="Times New Roman"/>
          <w:sz w:val="23"/>
          <w:szCs w:val="23"/>
          <w:color w:val="auto"/>
          <w:vertAlign w:val="superscript"/>
        </w:rPr>
      </w:pPr>
    </w:p>
    <w:p>
      <w:pPr>
        <w:ind w:left="340" w:hanging="332"/>
        <w:spacing w:after="0" w:line="219" w:lineRule="auto"/>
        <w:tabs>
          <w:tab w:leader="none" w:pos="328"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See Note 20 for information related to the held for sale carrying value impairment charge and impairment charge of </w:t>
      </w:r>
      <w:r>
        <w:rPr>
          <w:rFonts w:ascii="Times New Roman" w:cs="Times New Roman" w:eastAsia="Times New Roman" w:hAnsi="Times New Roman"/>
          <w:sz w:val="18"/>
          <w:szCs w:val="18"/>
          <w:i w:val="1"/>
          <w:iCs w:val="1"/>
          <w:color w:val="auto"/>
        </w:rPr>
        <w:t>Sperry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assets not sold recorded in fiscal 2023.</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06"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The Company follows FASB 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(“ASC 820”), which provides a consistent definition of fair value, focuses on exit price, prioritizes the use of market-based inputs over entity-specific inputs for</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46" w:name="page47"/>
    <w:bookmarkEnd w:id="46"/>
    <w:p>
      <w:pPr>
        <w:jc w:val="both"/>
        <w:spacing w:after="0" w:line="282" w:lineRule="auto"/>
        <w:rPr>
          <w:sz w:val="20"/>
          <w:szCs w:val="20"/>
          <w:color w:val="auto"/>
        </w:rPr>
      </w:pPr>
      <w:r>
        <w:rPr>
          <w:rFonts w:ascii="Times New Roman" w:cs="Times New Roman" w:eastAsia="Times New Roman" w:hAnsi="Times New Roman"/>
          <w:sz w:val="18"/>
          <w:szCs w:val="18"/>
          <w:color w:val="auto"/>
        </w:rPr>
        <w:t>measuring fair value and establishes a three-tier hierarchy for fair value measurements. ASC 820 requires fair value measurements to be classified and disclosed in one of the following three categories:</w:t>
      </w:r>
    </w:p>
    <w:p>
      <w:pPr>
        <w:spacing w:after="0" w:line="81" w:lineRule="exact"/>
        <w:rPr>
          <w:sz w:val="20"/>
          <w:szCs w:val="20"/>
          <w:color w:val="auto"/>
        </w:rPr>
      </w:pPr>
    </w:p>
    <w:p>
      <w:pPr>
        <w:ind w:left="20"/>
        <w:spacing w:after="0"/>
        <w:tabs>
          <w:tab w:leader="none" w:pos="100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8"/>
          <w:szCs w:val="18"/>
          <w:color w:val="auto"/>
        </w:rPr>
        <w:t>Fair value is measured using quoted prices (unadjusted) in active markets for identical assets and liabilities.</w:t>
      </w:r>
    </w:p>
    <w:p>
      <w:pPr>
        <w:spacing w:after="0" w:line="77" w:lineRule="exact"/>
        <w:rPr>
          <w:sz w:val="20"/>
          <w:szCs w:val="20"/>
          <w:color w:val="auto"/>
        </w:rPr>
      </w:pPr>
    </w:p>
    <w:p>
      <w:pPr>
        <w:ind w:left="1020" w:right="60" w:hanging="998"/>
        <w:spacing w:after="0" w:line="237" w:lineRule="auto"/>
        <w:tabs>
          <w:tab w:leader="none" w:pos="100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Fair value is measured using either direct or indirect inputs, other than quoted prices included within Level 1, which are observable for similar assets or liabilities.</w:t>
      </w:r>
    </w:p>
    <w:p>
      <w:pPr>
        <w:spacing w:after="0" w:line="64" w:lineRule="exact"/>
        <w:rPr>
          <w:sz w:val="20"/>
          <w:szCs w:val="20"/>
          <w:color w:val="auto"/>
        </w:rPr>
      </w:pPr>
    </w:p>
    <w:p>
      <w:pPr>
        <w:ind w:left="20"/>
        <w:spacing w:after="0"/>
        <w:tabs>
          <w:tab w:leader="none" w:pos="100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8"/>
          <w:szCs w:val="18"/>
          <w:color w:val="auto"/>
        </w:rPr>
        <w:t>Fair value is measured using valuation techniques in which one or more significant inputs are unobservable.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establishes a reserve for estimated environmental remediation costs based upon the evaluation of currently-available facts with respect to each individual affected site. The costs are recorded on an undiscounted basis when they are probable and reasonably estimable, generally no later than the completion of feasibility studies, the Company’s commitment to a plan of action, or approval by regulatory agencies. Liabilities for estimated costs of environmental remediation are based primarily upon third-party environmental studies, other internal analysis and the extent of the contamination and the nature of required remedial actions at each site. The Company records adjustments to the estimated costs if there are changes in the scope of the required remediation activity, extent of contamination, governmental regulations or remediation technologies. Environmental costs relating to existing conditions caused by past operations that do not contribute to current or future revenues are expensed as incurred.</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Assets related to potential recoveries from other responsible parties are recognized when a definitive agreement is reached and collection of cash is realizable. Recoveries of covered losses under insurance policies are recognized only when realization of the claim is deemed probable.</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subject to legal proceedings and claims related to the environmental matters described in Note 17. The Company routinely assesses the legal and factual circumstances of each matter and the likelihood of any adverse outcomes in these matters, as well as ranges of possible losses. Assessments of lawsuits and claims can involve a series of complex judgments about future events and can rely heavily on estimates and assumptions. The Company accrues an estimated liability for legal proceeding claims that are both probable and estimable and reserves may change in future periods due to new developments in each matter. For further discussion, refer to Note 17.</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Benefits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determination of the obligation and expense for retirement benefits is dependent on the selection of certain actuarial assumptions used in calculating such amounts. These assumptions include, among others, the discount rate, expected long-term rate of return on plan assets, mortality rates and rates of increase in compensation. These assumptions are reviewed with the Company’s actuaries and updated annually based on relevant external and internal factors and information, including, but not limited to, long-term expected asset returns, rates of termination, regulatory requirements and plan changes. See Note 13 for additional information. The Company has elected to measure its defined benefit plan assets and obligations as of December 31 of each year, regardless of the Company's actual fiscal year end date, which is the Saturday nearest to December 31.</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Based Compensation</w:t>
      </w:r>
    </w:p>
    <w:p>
      <w:pPr>
        <w:spacing w:after="0" w:line="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stock-based compensation in accordance with the fair value recognition provisions of ASC Topic 718, </w:t>
      </w:r>
      <w:r>
        <w:rPr>
          <w:rFonts w:ascii="Times New Roman" w:cs="Times New Roman" w:eastAsia="Times New Roman" w:hAnsi="Times New Roman"/>
          <w:sz w:val="18"/>
          <w:szCs w:val="18"/>
          <w:i w:val="1"/>
          <w:iCs w:val="1"/>
          <w:color w:val="auto"/>
        </w:rPr>
        <w:t>Compensation –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The Company generally grants restricted stock or units (“Restricted Awards”), performance-based restricted stock or units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and stock options under its stock-based compensation plans. All stock-based awards are accounted for based on their respective grant date fair values. Compensation cost for all awards expected to vest is recognized over the vesting period, including accelerated recognition for retirement-eligible employees.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provision for income taxes is based on the geographic dispersion of the earnings reported in the consolidated financial statements. A deferred income tax asset or liability is determined by applying currently-enacted tax laws and rates to the cumulative temporary differences between the carrying values of assets and liabilities for financial statement and income tax purposes. The effect on deferred tax assets and liabilities of a change in tax rates is recognized in earnings in the period that includes the enactment date. A valuation allowance is recorded to reduce deferred tax assets to the amount that is more likely than not to be realized. In the event the Company determines it is more likely than not that the deferred tax assets will not be realized in the future, the valuation allowance adjustment to the deferred tax assets will be charged to earnings in the period in which the Company makes such a determination. The Company includes Global Intangible Low Tax Income ("GILTI") as a current period tax expense when incurred.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7" w:name="page48"/>
    <w:bookmarkEnd w:id="47"/>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records an increase in liabilities for income tax accruals associated with tax benefits claimed on tax returns but not recognized for financial statement purposes (unrecognized tax benefits). In determining whether an uncertain tax position exists, the Company determines, based solely on its technical merits, whether the tax position is more likely than not to be sustained upon examination, and if so, a tax benefit is measured on a cumulative probability basis that is more likely than not to be realized upon the ultimate settlement. The Company recognizes interest and penalties related to unrecognized tax benefits through interest expense and income tax expense,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most of the Company’s international subsidiaries, the local currency is the functional currency. Assets and liabilities of these subsidiaries are translated into U.S. dollars at the year-end exchange rate. Operating statement amounts are translated at average exchange rates for each period. The cumulative translation adjustments resulting from changes in exchange rates are included in the consolidated balance sheets as a component of accumulated other comprehensive income (loss) in stockholders’ equity. Transaction gains and losses are included in the consolidated statements of operations and were not material for fiscal years 2024, 2023 and 2022.</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accounts for business combinations using the acquisition method of accounting, which requires that once control is obtained, the consolidated financial statements reflect the operations of an acquired business starting from the acquisition date.</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assets acquired and liabilities assumed are recorded at fair value as of the acquisition date. The Company allocates the purchase price of an acquired business to the fair values of the tangible and identifiable intangible assets acquired and liabilities assumed, with any excess purchase price recorded as goodwill. Contingent consideration, if any, is included in the purchase price and is recognized at its fair value on the acquisition date. During the measurement period, which is up to one year from the acquisition date, adjustments to the assets acquired and liabilities assumed may be recorded, with the corresponding offset to goodwill.</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determination of fair values of identifiable assets and liabilities requires estimates and the use of valuation techniques and requires management to make judgments that may involve the use of significant estimates. For intangible assets acquired in a business combination, the Company typically uses the income method. Significant estimates used in valuing certain intangible assets include, but are not limited to, the amount and timing of future cash flows, growth rates and discount rates, among other items. If the actual results differ from the estimates and judgments used, the amounts recorded in the Consolidated Financial Statements may be exposed to potential impairment of the intangible assets and goodwill as discussed in the "Goodwill and Indefinite-Lived Intangibles" accounting policy.</w:t>
      </w:r>
    </w:p>
    <w:p>
      <w:pPr>
        <w:spacing w:after="0" w:line="183" w:lineRule="exact"/>
        <w:rPr>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ACCOUNTING STANDARDS</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FASB has issued the following Accounting Standards Update (“ASU”) that the Company has adopted. The following is a summary of the new standard.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Standard</w:t>
            </w:r>
          </w:p>
        </w:tc>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Effect on the Financial Statements</w:t>
            </w:r>
          </w:p>
        </w:tc>
      </w:tr>
      <w:tr>
        <w:trPr>
          <w:trHeight w:val="169"/>
        </w:trPr>
        <w:tc>
          <w:tcPr>
            <w:tcW w:w="248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ASU 2023-07, Improvements to</w:t>
            </w:r>
          </w:p>
        </w:tc>
        <w:tc>
          <w:tcPr>
            <w:tcW w:w="240" w:type="dxa"/>
            <w:vAlign w:val="bottom"/>
            <w:tcBorders>
              <w:top w:val="single" w:sz="8" w:color="CCEEFF"/>
            </w:tcBorders>
            <w:shd w:val="clear" w:color="auto" w:fill="CCEEFF"/>
          </w:tcPr>
          <w:p>
            <w:pPr>
              <w:spacing w:after="0"/>
              <w:rPr>
                <w:sz w:val="14"/>
                <w:szCs w:val="14"/>
                <w:color w:val="auto"/>
              </w:rPr>
            </w:pPr>
          </w:p>
        </w:tc>
        <w:tc>
          <w:tcPr>
            <w:tcW w:w="460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Requires entities disclose on an annual and interim basis</w:t>
            </w:r>
          </w:p>
        </w:tc>
        <w:tc>
          <w:tcPr>
            <w:tcW w:w="240" w:type="dxa"/>
            <w:vAlign w:val="bottom"/>
            <w:tcBorders>
              <w:top w:val="single" w:sz="8" w:color="CCEEFF"/>
            </w:tcBorders>
            <w:shd w:val="clear" w:color="auto" w:fill="CCEEFF"/>
          </w:tcPr>
          <w:p>
            <w:pPr>
              <w:spacing w:after="0"/>
              <w:rPr>
                <w:sz w:val="14"/>
                <w:szCs w:val="14"/>
                <w:color w:val="auto"/>
              </w:rPr>
            </w:pPr>
          </w:p>
        </w:tc>
        <w:tc>
          <w:tcPr>
            <w:tcW w:w="368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The Company adopted ASU 2023-07 for the year-</w:t>
            </w:r>
          </w:p>
        </w:tc>
      </w:tr>
      <w:tr>
        <w:trPr>
          <w:trHeight w:val="184"/>
        </w:trPr>
        <w:tc>
          <w:tcPr>
            <w:tcW w:w="272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Reportable Segment Disclosures</w:t>
            </w:r>
          </w:p>
        </w:tc>
        <w:tc>
          <w:tcPr>
            <w:tcW w:w="484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significant segment expense, including an amount and</w:t>
            </w:r>
          </w:p>
        </w:tc>
        <w:tc>
          <w:tcPr>
            <w:tcW w:w="36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ended December 28, 2024 and applied it</w:t>
            </w:r>
          </w:p>
        </w:tc>
      </w:tr>
      <w:tr>
        <w:trPr>
          <w:trHeight w:val="180"/>
        </w:trPr>
        <w:tc>
          <w:tcPr>
            <w:tcW w:w="2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84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composition description for other segment items, and how</w:t>
            </w:r>
          </w:p>
        </w:tc>
        <w:tc>
          <w:tcPr>
            <w:tcW w:w="36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retrospectively to all prior periods presented.</w:t>
            </w:r>
          </w:p>
        </w:tc>
      </w:tr>
      <w:tr>
        <w:trPr>
          <w:trHeight w:val="175"/>
        </w:trPr>
        <w:tc>
          <w:tcPr>
            <w:tcW w:w="2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8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reported measures of profit or loss are used by the chief</w:t>
            </w:r>
          </w:p>
        </w:tc>
        <w:tc>
          <w:tcPr>
            <w:tcW w:w="36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Refer to Note 18, "Business Segments."</w:t>
            </w:r>
          </w:p>
        </w:tc>
      </w:tr>
      <w:tr>
        <w:trPr>
          <w:trHeight w:val="184"/>
        </w:trPr>
        <w:tc>
          <w:tcPr>
            <w:tcW w:w="2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84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operating decision maker in assessing segment performance</w:t>
            </w:r>
          </w:p>
        </w:tc>
        <w:tc>
          <w:tcPr>
            <w:tcW w:w="3680" w:type="dxa"/>
            <w:vAlign w:val="bottom"/>
            <w:shd w:val="clear" w:color="auto" w:fill="CCEEFF"/>
          </w:tcPr>
          <w:p>
            <w:pPr>
              <w:spacing w:after="0"/>
              <w:rPr>
                <w:sz w:val="16"/>
                <w:szCs w:val="16"/>
                <w:color w:val="auto"/>
              </w:rPr>
            </w:pPr>
          </w:p>
        </w:tc>
      </w:tr>
      <w:tr>
        <w:trPr>
          <w:trHeight w:val="234"/>
        </w:trPr>
        <w:tc>
          <w:tcPr>
            <w:tcW w:w="2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deciding how to allocate resources.</w:t>
            </w:r>
          </w:p>
        </w:tc>
        <w:tc>
          <w:tcPr>
            <w:tcW w:w="3680" w:type="dxa"/>
            <w:vAlign w:val="bottom"/>
            <w:shd w:val="clear" w:color="auto" w:fill="CCEEFF"/>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8" w:name="page49"/>
    <w:bookmarkEnd w:id="48"/>
    <w:p>
      <w:pPr>
        <w:spacing w:after="0" w:line="282" w:lineRule="auto"/>
        <w:rPr>
          <w:sz w:val="20"/>
          <w:szCs w:val="20"/>
          <w:color w:val="auto"/>
        </w:rPr>
      </w:pPr>
      <w:r>
        <w:rPr>
          <w:rFonts w:ascii="Times New Roman" w:cs="Times New Roman" w:eastAsia="Times New Roman" w:hAnsi="Times New Roman"/>
          <w:sz w:val="18"/>
          <w:szCs w:val="18"/>
          <w:color w:val="auto"/>
        </w:rPr>
        <w:t>The FASB has issued the following ASUs that the Company has not yet adopted. The following is a summary of the new standards and anticipated impact of adopting these new standards.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Standard</w:t>
            </w:r>
          </w:p>
        </w:tc>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Effect on the Financial Statements</w:t>
            </w:r>
          </w:p>
        </w:tc>
      </w:tr>
      <w:tr>
        <w:trPr>
          <w:trHeight w:val="169"/>
        </w:trPr>
        <w:tc>
          <w:tcPr>
            <w:tcW w:w="248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ASU 2023-09, Improvements to</w:t>
            </w:r>
          </w:p>
        </w:tc>
        <w:tc>
          <w:tcPr>
            <w:tcW w:w="240" w:type="dxa"/>
            <w:vAlign w:val="bottom"/>
            <w:tcBorders>
              <w:top w:val="single" w:sz="8" w:color="CCEEFF"/>
            </w:tcBorders>
            <w:shd w:val="clear" w:color="auto" w:fill="CCEEFF"/>
          </w:tcPr>
          <w:p>
            <w:pPr>
              <w:spacing w:after="0"/>
              <w:rPr>
                <w:sz w:val="14"/>
                <w:szCs w:val="14"/>
                <w:color w:val="auto"/>
              </w:rPr>
            </w:pPr>
          </w:p>
        </w:tc>
        <w:tc>
          <w:tcPr>
            <w:tcW w:w="460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Requires annual disclosures of prescribed standard categories</w:t>
            </w:r>
          </w:p>
        </w:tc>
        <w:tc>
          <w:tcPr>
            <w:tcW w:w="240" w:type="dxa"/>
            <w:vAlign w:val="bottom"/>
            <w:tcBorders>
              <w:top w:val="single" w:sz="8" w:color="CCEEFF"/>
            </w:tcBorders>
            <w:shd w:val="clear" w:color="auto" w:fill="CCEEFF"/>
          </w:tcPr>
          <w:p>
            <w:pPr>
              <w:spacing w:after="0"/>
              <w:rPr>
                <w:sz w:val="14"/>
                <w:szCs w:val="14"/>
                <w:color w:val="auto"/>
              </w:rPr>
            </w:pPr>
          </w:p>
        </w:tc>
        <w:tc>
          <w:tcPr>
            <w:tcW w:w="368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The Company is evaluating the impact of the new</w:t>
            </w:r>
          </w:p>
        </w:tc>
      </w:tr>
      <w:tr>
        <w:trPr>
          <w:trHeight w:val="175"/>
        </w:trPr>
        <w:tc>
          <w:tcPr>
            <w:tcW w:w="27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Income Tax Disclosures</w:t>
            </w:r>
          </w:p>
        </w:tc>
        <w:tc>
          <w:tcPr>
            <w:tcW w:w="48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for the components of the effective tax rate reconciliation,</w:t>
            </w:r>
          </w:p>
        </w:tc>
        <w:tc>
          <w:tcPr>
            <w:tcW w:w="36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w w:val="99"/>
              </w:rPr>
              <w:t>standard on its Consolidated Financial Statements.</w:t>
            </w:r>
          </w:p>
        </w:tc>
      </w:tr>
      <w:tr>
        <w:trPr>
          <w:trHeight w:val="184"/>
        </w:trPr>
        <w:tc>
          <w:tcPr>
            <w:tcW w:w="2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84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disclosure of income taxes paid disaggregated by jurisdiction,</w:t>
            </w:r>
          </w:p>
        </w:tc>
        <w:tc>
          <w:tcPr>
            <w:tcW w:w="3680" w:type="dxa"/>
            <w:vAlign w:val="bottom"/>
            <w:shd w:val="clear" w:color="auto" w:fill="CCEEFF"/>
          </w:tcPr>
          <w:p>
            <w:pPr>
              <w:spacing w:after="0"/>
              <w:rPr>
                <w:sz w:val="16"/>
                <w:szCs w:val="16"/>
                <w:color w:val="auto"/>
              </w:rPr>
            </w:pPr>
          </w:p>
        </w:tc>
      </w:tr>
      <w:tr>
        <w:trPr>
          <w:trHeight w:val="180"/>
        </w:trPr>
        <w:tc>
          <w:tcPr>
            <w:tcW w:w="2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84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and other income-tax related disclosures. The ASU is effective</w:t>
            </w:r>
          </w:p>
        </w:tc>
        <w:tc>
          <w:tcPr>
            <w:tcW w:w="3680" w:type="dxa"/>
            <w:vAlign w:val="bottom"/>
            <w:shd w:val="clear" w:color="auto" w:fill="CCEEFF"/>
          </w:tcPr>
          <w:p>
            <w:pPr>
              <w:spacing w:after="0"/>
              <w:rPr>
                <w:sz w:val="15"/>
                <w:szCs w:val="15"/>
                <w:color w:val="auto"/>
              </w:rPr>
            </w:pPr>
          </w:p>
        </w:tc>
      </w:tr>
      <w:tr>
        <w:trPr>
          <w:trHeight w:val="175"/>
        </w:trPr>
        <w:tc>
          <w:tcPr>
            <w:tcW w:w="2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8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on a prospective basis, with retrospective application</w:t>
            </w:r>
          </w:p>
        </w:tc>
        <w:tc>
          <w:tcPr>
            <w:tcW w:w="3680" w:type="dxa"/>
            <w:vAlign w:val="bottom"/>
            <w:shd w:val="clear" w:color="auto" w:fill="CCEEFF"/>
          </w:tcPr>
          <w:p>
            <w:pPr>
              <w:spacing w:after="0"/>
              <w:rPr>
                <w:sz w:val="15"/>
                <w:szCs w:val="15"/>
                <w:color w:val="auto"/>
              </w:rPr>
            </w:pPr>
          </w:p>
        </w:tc>
      </w:tr>
      <w:tr>
        <w:trPr>
          <w:trHeight w:val="243"/>
        </w:trPr>
        <w:tc>
          <w:tcPr>
            <w:tcW w:w="24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permitted, for fiscal years after December 15, 2024.</w:t>
            </w:r>
          </w:p>
        </w:tc>
        <w:tc>
          <w:tcPr>
            <w:tcW w:w="3680" w:type="dxa"/>
            <w:vAlign w:val="bottom"/>
            <w:shd w:val="clear" w:color="auto" w:fill="CCEEFF"/>
          </w:tcPr>
          <w:p>
            <w:pPr>
              <w:spacing w:after="0"/>
              <w:rPr>
                <w:sz w:val="21"/>
                <w:szCs w:val="21"/>
                <w:color w:val="auto"/>
              </w:rPr>
            </w:pPr>
          </w:p>
        </w:tc>
      </w:tr>
      <w:tr>
        <w:trPr>
          <w:trHeight w:val="175"/>
        </w:trPr>
        <w:tc>
          <w:tcPr>
            <w:tcW w:w="27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ASU 2024-03, Disaggregation of</w:t>
            </w:r>
          </w:p>
        </w:tc>
        <w:tc>
          <w:tcPr>
            <w:tcW w:w="48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Requires disclosure about the types of costs and expenses</w:t>
            </w:r>
          </w:p>
        </w:tc>
        <w:tc>
          <w:tcPr>
            <w:tcW w:w="36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The Company is evaluating the impact of the new</w:t>
            </w:r>
          </w:p>
        </w:tc>
      </w:tr>
      <w:tr>
        <w:trPr>
          <w:trHeight w:val="176"/>
        </w:trPr>
        <w:tc>
          <w:tcPr>
            <w:tcW w:w="27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Income Statement Expenses</w:t>
            </w:r>
          </w:p>
        </w:tc>
        <w:tc>
          <w:tcPr>
            <w:tcW w:w="48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included in certain expense captions presented on the income</w:t>
            </w:r>
          </w:p>
        </w:tc>
        <w:tc>
          <w:tcPr>
            <w:tcW w:w="36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w w:val="99"/>
              </w:rPr>
              <w:t>standard on its Consolidated Financial Statements.</w:t>
            </w:r>
          </w:p>
        </w:tc>
      </w:tr>
      <w:tr>
        <w:trPr>
          <w:trHeight w:val="184"/>
        </w:trPr>
        <w:tc>
          <w:tcPr>
            <w:tcW w:w="2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statement. The ASU is effective for annual periods beginning</w:t>
            </w:r>
          </w:p>
        </w:tc>
        <w:tc>
          <w:tcPr>
            <w:tcW w:w="3680" w:type="dxa"/>
            <w:vAlign w:val="bottom"/>
          </w:tcPr>
          <w:p>
            <w:pPr>
              <w:spacing w:after="0"/>
              <w:rPr>
                <w:sz w:val="16"/>
                <w:szCs w:val="16"/>
                <w:color w:val="auto"/>
              </w:rPr>
            </w:pPr>
          </w:p>
        </w:tc>
      </w:tr>
      <w:tr>
        <w:trPr>
          <w:trHeight w:val="180"/>
        </w:trPr>
        <w:tc>
          <w:tcPr>
            <w:tcW w:w="2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4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after December 15, 2026, and interim periods beginning after</w:t>
            </w:r>
          </w:p>
        </w:tc>
        <w:tc>
          <w:tcPr>
            <w:tcW w:w="3680" w:type="dxa"/>
            <w:vAlign w:val="bottom"/>
          </w:tcPr>
          <w:p>
            <w:pPr>
              <w:spacing w:after="0"/>
              <w:rPr>
                <w:sz w:val="15"/>
                <w:szCs w:val="15"/>
                <w:color w:val="auto"/>
              </w:rPr>
            </w:pPr>
          </w:p>
        </w:tc>
      </w:tr>
      <w:tr>
        <w:trPr>
          <w:trHeight w:val="176"/>
        </w:trPr>
        <w:tc>
          <w:tcPr>
            <w:tcW w:w="2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December 15, 2027, with early adoption permitted. The</w:t>
            </w:r>
          </w:p>
        </w:tc>
        <w:tc>
          <w:tcPr>
            <w:tcW w:w="3680" w:type="dxa"/>
            <w:vAlign w:val="bottom"/>
          </w:tcPr>
          <w:p>
            <w:pPr>
              <w:spacing w:after="0"/>
              <w:rPr>
                <w:sz w:val="15"/>
                <w:szCs w:val="15"/>
                <w:color w:val="auto"/>
              </w:rPr>
            </w:pPr>
          </w:p>
        </w:tc>
      </w:tr>
      <w:tr>
        <w:trPr>
          <w:trHeight w:val="184"/>
        </w:trPr>
        <w:tc>
          <w:tcPr>
            <w:tcW w:w="2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amendments in ASU 2024-03 should be applied either</w:t>
            </w:r>
          </w:p>
        </w:tc>
        <w:tc>
          <w:tcPr>
            <w:tcW w:w="3680" w:type="dxa"/>
            <w:vAlign w:val="bottom"/>
          </w:tcPr>
          <w:p>
            <w:pPr>
              <w:spacing w:after="0"/>
              <w:rPr>
                <w:sz w:val="16"/>
                <w:szCs w:val="16"/>
                <w:color w:val="auto"/>
              </w:rPr>
            </w:pPr>
          </w:p>
        </w:tc>
      </w:tr>
      <w:tr>
        <w:trPr>
          <w:trHeight w:val="180"/>
        </w:trPr>
        <w:tc>
          <w:tcPr>
            <w:tcW w:w="2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4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prospectively to financial statements issued for reporting</w:t>
            </w:r>
          </w:p>
        </w:tc>
        <w:tc>
          <w:tcPr>
            <w:tcW w:w="3680" w:type="dxa"/>
            <w:vAlign w:val="bottom"/>
          </w:tcPr>
          <w:p>
            <w:pPr>
              <w:spacing w:after="0"/>
              <w:rPr>
                <w:sz w:val="15"/>
                <w:szCs w:val="15"/>
                <w:color w:val="auto"/>
              </w:rPr>
            </w:pPr>
          </w:p>
        </w:tc>
      </w:tr>
      <w:tr>
        <w:trPr>
          <w:trHeight w:val="176"/>
        </w:trPr>
        <w:tc>
          <w:tcPr>
            <w:tcW w:w="2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periods after the effective date or retrospectively to any or all</w:t>
            </w:r>
          </w:p>
        </w:tc>
        <w:tc>
          <w:tcPr>
            <w:tcW w:w="3680" w:type="dxa"/>
            <w:vAlign w:val="bottom"/>
          </w:tcPr>
          <w:p>
            <w:pPr>
              <w:spacing w:after="0"/>
              <w:rPr>
                <w:sz w:val="15"/>
                <w:szCs w:val="15"/>
                <w:color w:val="auto"/>
              </w:rPr>
            </w:pPr>
          </w:p>
        </w:tc>
      </w:tr>
      <w:tr>
        <w:trPr>
          <w:trHeight w:val="234"/>
        </w:trPr>
        <w:tc>
          <w:tcPr>
            <w:tcW w:w="2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prior periods presented in the financial statements.</w:t>
            </w:r>
          </w:p>
        </w:tc>
        <w:tc>
          <w:tcPr>
            <w:tcW w:w="3680" w:type="dxa"/>
            <w:vAlign w:val="bottom"/>
          </w:tcPr>
          <w:p>
            <w:pPr>
              <w:spacing w:after="0"/>
              <w:rPr>
                <w:sz w:val="20"/>
                <w:szCs w:val="20"/>
                <w:color w:val="auto"/>
              </w:rPr>
            </w:pPr>
          </w:p>
        </w:tc>
      </w:tr>
    </w:tbl>
    <w:p>
      <w:pPr>
        <w:spacing w:after="0" w:line="364"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Fiscal Year</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 except per share data)</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ind w:left="220"/>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jc w:val="right"/>
              <w:ind w:right="495"/>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ind w:right="493"/>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020" w:type="dxa"/>
            <w:vAlign w:val="bottom"/>
            <w:tcBorders>
              <w:top w:val="single" w:sz="8" w:color="auto"/>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earnings (loss) attributable to Wolverine World Wide, Inc.</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net earnings attributed to participating share-based awards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98"/>
              </w:rPr>
              <w:t>(1.6)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earnings (loss) used to calculate earnings per share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67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40" w:type="dxa"/>
            <w:vAlign w:val="bottom"/>
          </w:tcPr>
          <w:p>
            <w:pPr>
              <w:spacing w:after="0"/>
              <w:rPr>
                <w:sz w:val="19"/>
                <w:szCs w:val="19"/>
                <w:color w:val="auto"/>
              </w:rPr>
            </w:pPr>
          </w:p>
        </w:tc>
        <w:tc>
          <w:tcPr>
            <w:tcW w:w="10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(loss) per share: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fiscal years 2024, 2023 and 2022, 1,592,297, 2,022,676 and 1,434,081 outstanding stock options, respectively, have not been included in the denominator for the computation of diluted earnings per share because they were anti-dilutive.</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has 2,000,000 authorized shares of $1 par value preferred stock, none of which was issued or outstanding as of December 28, 2024 or December 30, 2023. The Company has designated 150,000 shares of preferred stock as Series A junior participating preferred stock and 500,000 shares of preferred stock as Series B junior participating preferred stock for possible future issuance.</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did not repurchase Company common stock in fiscal years 2024 or 2023. The Company repurchased $81.3 million of Company common stock in fiscal year 2022 under stock repurchase plans. In addition to the stock repurchase program activity, the Company acquired $2.6 million, $5.8 million and $7.7 million of Company common stock in fiscal years 2024, 2023 and 2022, respectively, in connection with employee transactions related to stock incentive plans.</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March 7, 2024, the Company's Board of Directors approved a common stock repurchase program that authorized the repurchase of $150.0 million of common stock over a three-year period.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9" w:name="page50"/>
    <w:bookmarkEnd w:id="49"/>
    <w:p>
      <w:pPr>
        <w:ind w:right="6680" w:firstLine="8"/>
        <w:spacing w:after="0" w:line="375" w:lineRule="auto"/>
        <w:tabs>
          <w:tab w:leader="none" w:pos="324"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GOODWILL AND OTHER INTANGIBLE ASSETS </w:t>
      </w:r>
      <w:r>
        <w:rPr>
          <w:rFonts w:ascii="Times New Roman" w:cs="Times New Roman" w:eastAsia="Times New Roman" w:hAnsi="Times New Roman"/>
          <w:sz w:val="18"/>
          <w:szCs w:val="18"/>
          <w:color w:val="auto"/>
        </w:rPr>
        <w:t>The changes in the carrying amount of goodwill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2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color w:val="auto"/>
              </w:rPr>
              <w:t>Fiscal Year</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tcPr>
          <w:p>
            <w:pPr>
              <w:jc w:val="right"/>
              <w:ind w:right="595"/>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80" w:type="dxa"/>
            <w:vAlign w:val="bottom"/>
          </w:tcPr>
          <w:p>
            <w:pPr>
              <w:jc w:val="right"/>
              <w:ind w:right="593"/>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balance at beginning of the year</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Sale of a business (see Note 20)</w:t>
            </w:r>
          </w:p>
        </w:tc>
        <w:tc>
          <w:tcPr>
            <w:tcW w:w="4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ind w:left="200"/>
              <w:spacing w:after="0" w:line="230" w:lineRule="exact"/>
              <w:rPr>
                <w:sz w:val="20"/>
                <w:szCs w:val="20"/>
                <w:color w:val="auto"/>
              </w:rPr>
            </w:pPr>
            <w:r>
              <w:rPr>
                <w:rFonts w:ascii="Times New Roman" w:cs="Times New Roman" w:eastAsia="Times New Roman" w:hAnsi="Times New Roman"/>
                <w:sz w:val="18"/>
                <w:szCs w:val="18"/>
                <w:color w:val="auto"/>
              </w:rPr>
              <w:t xml:space="preserve">Reclassified to assets held for sale </w:t>
            </w:r>
            <w:r>
              <w:rPr>
                <w:rFonts w:ascii="Times New Roman" w:cs="Times New Roman" w:eastAsia="Times New Roman" w:hAnsi="Times New Roman"/>
                <w:sz w:val="23"/>
                <w:szCs w:val="23"/>
                <w:color w:val="auto"/>
                <w:vertAlign w:val="superscript"/>
              </w:rPr>
              <w:t>(1)</w:t>
            </w:r>
          </w:p>
        </w:tc>
        <w:tc>
          <w:tcPr>
            <w:tcW w:w="4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80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effects</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8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balance at end of the year</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70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320" w:hanging="312"/>
        <w:spacing w:after="0"/>
        <w:tabs>
          <w:tab w:leader="none" w:pos="320"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Represents goodwill associated with the </w:t>
      </w:r>
      <w:r>
        <w:rPr>
          <w:rFonts w:ascii="Times New Roman" w:cs="Times New Roman" w:eastAsia="Times New Roman" w:hAnsi="Times New Roman"/>
          <w:sz w:val="18"/>
          <w:szCs w:val="18"/>
          <w:i w:val="1"/>
          <w:iCs w:val="1"/>
          <w:color w:val="auto"/>
        </w:rPr>
        <w:t>Sperry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business classified as held for sale as of fiscal 2023, refer to Note 20.</w:t>
      </w:r>
    </w:p>
    <w:p>
      <w:pPr>
        <w:spacing w:after="0" w:line="62"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 xml:space="preserve">Goodwill balances are net of accumulated impairment charges. Accumulated impairment charges were $48.4 million as of December 28, 2024 and December 30, 2023, and are related to the </w:t>
      </w:r>
      <w:r>
        <w:rPr>
          <w:rFonts w:ascii="Times New Roman" w:cs="Times New Roman" w:eastAsia="Times New Roman" w:hAnsi="Times New Roman"/>
          <w:sz w:val="18"/>
          <w:szCs w:val="18"/>
          <w:i w:val="1"/>
          <w:iCs w:val="1"/>
          <w:color w:val="auto"/>
        </w:rPr>
        <w:t>Sweaty Betty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reporting unit, which is part of the Active reportable segment.</w:t>
      </w:r>
    </w:p>
    <w:p>
      <w:pPr>
        <w:spacing w:after="0" w:line="1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 xml:space="preserve">The Company performs its annual testing for goodwill and indefinite-lived intangible asset impairment at the beginning of the fourth quarter of the fiscal year for all reporting units. The Company did not recognize any impairment charges for goodwill and indefinite-lived intangible assets during 2024 and did not recognize any impairment charges for goodwill during 2023. The Company’s indefinite-lived intangible assets, which comprise trade names and trademarks, totaled $173.0 million and $174.1 million as of December 28, 2024 and December 30, 2023, respectively. In the third quarter of 2023, due to the continued lower current year performance of the </w:t>
      </w:r>
      <w:r>
        <w:rPr>
          <w:rFonts w:ascii="Times New Roman" w:cs="Times New Roman" w:eastAsia="Times New Roman" w:hAnsi="Times New Roman"/>
          <w:sz w:val="18"/>
          <w:szCs w:val="18"/>
          <w:i w:val="1"/>
          <w:iCs w:val="1"/>
          <w:color w:val="auto"/>
        </w:rPr>
        <w:t>Sperry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the Company determined that a triggering event had occurred requiring impairment testing of the </w:t>
      </w:r>
      <w:r>
        <w:rPr>
          <w:rFonts w:ascii="Times New Roman" w:cs="Times New Roman" w:eastAsia="Times New Roman" w:hAnsi="Times New Roman"/>
          <w:sz w:val="18"/>
          <w:szCs w:val="18"/>
          <w:i w:val="1"/>
          <w:iCs w:val="1"/>
          <w:color w:val="auto"/>
        </w:rPr>
        <w:t>Sperry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trade name. Based on the results of the impairment testing, the Company recognized impairment charges of $38.3 million to the </w:t>
      </w:r>
      <w:r>
        <w:rPr>
          <w:rFonts w:ascii="Times New Roman" w:cs="Times New Roman" w:eastAsia="Times New Roman" w:hAnsi="Times New Roman"/>
          <w:sz w:val="18"/>
          <w:szCs w:val="18"/>
          <w:i w:val="1"/>
          <w:iCs w:val="1"/>
          <w:color w:val="auto"/>
        </w:rPr>
        <w:t>Sperry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trade name. The impairment charge was due to reductions in future cash flow assumptions mainly due to decreases in anticipated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performance and an increase in the discount rate used in the valuation. In the fourth quarter of fiscal 2022, after the completion of the annual impairment testing, the Company recognized impairment charges of $191.0 million and $189.3 million to the </w:t>
      </w:r>
      <w:r>
        <w:rPr>
          <w:rFonts w:ascii="Times New Roman" w:cs="Times New Roman" w:eastAsia="Times New Roman" w:hAnsi="Times New Roman"/>
          <w:sz w:val="18"/>
          <w:szCs w:val="18"/>
          <w:i w:val="1"/>
          <w:iCs w:val="1"/>
          <w:color w:val="auto"/>
        </w:rPr>
        <w:t>Sperry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Sweaty Betty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trade names, respectively.</w:t>
      </w:r>
    </w:p>
    <w:p>
      <w:pPr>
        <w:spacing w:after="0" w:line="63"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 xml:space="preserve">For the </w:t>
      </w:r>
      <w:r>
        <w:rPr>
          <w:rFonts w:ascii="Times New Roman" w:cs="Times New Roman" w:eastAsia="Times New Roman" w:hAnsi="Times New Roman"/>
          <w:sz w:val="18"/>
          <w:szCs w:val="18"/>
          <w:i w:val="1"/>
          <w:iCs w:val="1"/>
          <w:color w:val="auto"/>
        </w:rPr>
        <w:t>Sweaty Betty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reporting unit included in the fiscal 2024 annual impairment test, the estimated fair value of the reporting unit exceeded the carrying value by 3%. The </w:t>
      </w:r>
      <w:r>
        <w:rPr>
          <w:rFonts w:ascii="Times New Roman" w:cs="Times New Roman" w:eastAsia="Times New Roman" w:hAnsi="Times New Roman"/>
          <w:sz w:val="18"/>
          <w:szCs w:val="18"/>
          <w:i w:val="1"/>
          <w:iCs w:val="1"/>
          <w:color w:val="auto"/>
        </w:rPr>
        <w:t>Sweaty Betty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trade name was valued using the income approach, specifically the multi-period excess earnings method. The key assumptions used in the valuation were revenue growth, EBITDA margin, and the discount rate. Although the Company believes the estimates and assumptions used in the valuation were appropriate, it is possible assumptions could change in future periods. The risk of future impairment to the </w:t>
      </w:r>
      <w:r>
        <w:rPr>
          <w:rFonts w:ascii="Times New Roman" w:cs="Times New Roman" w:eastAsia="Times New Roman" w:hAnsi="Times New Roman"/>
          <w:sz w:val="18"/>
          <w:szCs w:val="18"/>
          <w:i w:val="1"/>
          <w:iCs w:val="1"/>
          <w:color w:val="auto"/>
        </w:rPr>
        <w:t>Sweaty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Betty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trade name and</w:t>
      </w:r>
      <w:r>
        <w:rPr>
          <w:rFonts w:ascii="Times New Roman" w:cs="Times New Roman" w:eastAsia="Times New Roman" w:hAnsi="Times New Roman"/>
          <w:sz w:val="18"/>
          <w:szCs w:val="18"/>
          <w:i w:val="1"/>
          <w:iCs w:val="1"/>
          <w:color w:val="auto"/>
        </w:rPr>
        <w:t xml:space="preserve"> Sweaty Betty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goodwill depend on assumptions used in the determination of the trade name's and reporting unit's fair value,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revenue growth, EBITDA margin, taxes, depreciation and amortization margin, discount rate, and assumed tax rate, or if macroeconomic conditions deteriorate and adversely affect the values of the Company's </w:t>
      </w:r>
      <w:r>
        <w:rPr>
          <w:rFonts w:ascii="Times New Roman" w:cs="Times New Roman" w:eastAsia="Times New Roman" w:hAnsi="Times New Roman"/>
          <w:sz w:val="18"/>
          <w:szCs w:val="18"/>
          <w:i w:val="1"/>
          <w:iCs w:val="1"/>
          <w:color w:val="auto"/>
        </w:rPr>
        <w:t>Sweaty Betty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trade name and the </w:t>
      </w:r>
      <w:r>
        <w:rPr>
          <w:rFonts w:ascii="Times New Roman" w:cs="Times New Roman" w:eastAsia="Times New Roman" w:hAnsi="Times New Roman"/>
          <w:sz w:val="18"/>
          <w:szCs w:val="18"/>
          <w:i w:val="1"/>
          <w:iCs w:val="1"/>
          <w:color w:val="auto"/>
        </w:rPr>
        <w:t>Sweaty Betty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reporting unit. A future impairment charge of the </w:t>
      </w:r>
      <w:r>
        <w:rPr>
          <w:rFonts w:ascii="Times New Roman" w:cs="Times New Roman" w:eastAsia="Times New Roman" w:hAnsi="Times New Roman"/>
          <w:sz w:val="18"/>
          <w:szCs w:val="18"/>
          <w:i w:val="1"/>
          <w:iCs w:val="1"/>
          <w:color w:val="auto"/>
        </w:rPr>
        <w:t>Sweaty Betty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trade name and the </w:t>
      </w:r>
      <w:r>
        <w:rPr>
          <w:rFonts w:ascii="Times New Roman" w:cs="Times New Roman" w:eastAsia="Times New Roman" w:hAnsi="Times New Roman"/>
          <w:sz w:val="18"/>
          <w:szCs w:val="18"/>
          <w:i w:val="1"/>
          <w:iCs w:val="1"/>
          <w:color w:val="auto"/>
        </w:rPr>
        <w:t>Sweaty Betty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reporting unit goodwill could have an adverse material effect on the Company's consolidated financial results The carrying values of the Company’s </w:t>
      </w:r>
      <w:r>
        <w:rPr>
          <w:rFonts w:ascii="Times New Roman" w:cs="Times New Roman" w:eastAsia="Times New Roman" w:hAnsi="Times New Roman"/>
          <w:sz w:val="18"/>
          <w:szCs w:val="18"/>
          <w:i w:val="1"/>
          <w:iCs w:val="1"/>
          <w:color w:val="auto"/>
        </w:rPr>
        <w:t>Sweaty Betty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trade name indefinite-lived intangible asset and the </w:t>
      </w:r>
      <w:r>
        <w:rPr>
          <w:rFonts w:ascii="Times New Roman" w:cs="Times New Roman" w:eastAsia="Times New Roman" w:hAnsi="Times New Roman"/>
          <w:sz w:val="18"/>
          <w:szCs w:val="18"/>
          <w:i w:val="1"/>
          <w:iCs w:val="1"/>
          <w:color w:val="auto"/>
        </w:rPr>
        <w:t>Sweaty Betty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reporting unit goodwill were $98.4 million and $52.4 million, respectively, as of December 28, 2024.</w:t>
      </w:r>
    </w:p>
    <w:p>
      <w:pPr>
        <w:spacing w:after="0" w:line="1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Amortizable intangible assets are amortized using the straight-line method over their estimated useful lives. The combined gross carrying values and accumulated amortization for these amortizable intangibles are as follows: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60" w:type="dxa"/>
            <w:vAlign w:val="bottom"/>
            <w:gridSpan w:val="3"/>
          </w:tcPr>
          <w:p>
            <w:pPr>
              <w:jc w:val="right"/>
              <w:ind w:right="296"/>
              <w:spacing w:after="0"/>
              <w:rPr>
                <w:sz w:val="20"/>
                <w:szCs w:val="20"/>
                <w:color w:val="auto"/>
              </w:rPr>
            </w:pPr>
            <w:r>
              <w:rPr>
                <w:rFonts w:ascii="Times New Roman" w:cs="Times New Roman" w:eastAsia="Times New Roman" w:hAnsi="Times New Roman"/>
                <w:sz w:val="14"/>
                <w:szCs w:val="14"/>
                <w:color w:val="auto"/>
              </w:rPr>
              <w:t>December 28, 2024</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Pr>
          <w:p>
            <w:pPr>
              <w:spacing w:after="0"/>
              <w:rPr>
                <w:sz w:val="11"/>
                <w:szCs w:val="11"/>
                <w:color w:val="auto"/>
              </w:rPr>
            </w:pPr>
          </w:p>
        </w:tc>
        <w:tc>
          <w:tcPr>
            <w:tcW w:w="1340" w:type="dxa"/>
            <w:vAlign w:val="bottom"/>
            <w:gridSpan w:val="2"/>
          </w:tcPr>
          <w:p>
            <w:pPr>
              <w:jc w:val="center"/>
              <w:ind w:right="280"/>
              <w:spacing w:after="0" w:line="133" w:lineRule="exact"/>
              <w:rPr>
                <w:sz w:val="20"/>
                <w:szCs w:val="20"/>
                <w:color w:val="auto"/>
              </w:rPr>
            </w:pPr>
            <w:r>
              <w:rPr>
                <w:rFonts w:ascii="Times New Roman" w:cs="Times New Roman" w:eastAsia="Times New Roman" w:hAnsi="Times New Roman"/>
                <w:sz w:val="14"/>
                <w:szCs w:val="14"/>
                <w:color w:val="auto"/>
              </w:rPr>
              <w:t>Gross carrying</w:t>
            </w:r>
          </w:p>
        </w:tc>
        <w:tc>
          <w:tcPr>
            <w:tcW w:w="220" w:type="dxa"/>
            <w:vAlign w:val="bottom"/>
          </w:tcPr>
          <w:p>
            <w:pPr>
              <w:spacing w:after="0"/>
              <w:rPr>
                <w:sz w:val="11"/>
                <w:szCs w:val="11"/>
                <w:color w:val="auto"/>
              </w:rPr>
            </w:pPr>
          </w:p>
        </w:tc>
        <w:tc>
          <w:tcPr>
            <w:tcW w:w="1320" w:type="dxa"/>
            <w:vAlign w:val="bottom"/>
            <w:gridSpan w:val="2"/>
          </w:tcPr>
          <w:p>
            <w:pPr>
              <w:ind w:left="120"/>
              <w:spacing w:after="0" w:line="133" w:lineRule="exact"/>
              <w:rPr>
                <w:sz w:val="20"/>
                <w:szCs w:val="20"/>
                <w:color w:val="auto"/>
              </w:rPr>
            </w:pPr>
            <w:r>
              <w:rPr>
                <w:rFonts w:ascii="Times New Roman" w:cs="Times New Roman" w:eastAsia="Times New Roman" w:hAnsi="Times New Roman"/>
                <w:sz w:val="14"/>
                <w:szCs w:val="14"/>
                <w:color w:val="auto"/>
              </w:rPr>
              <w:t>Accumulated</w:t>
            </w:r>
          </w:p>
        </w:tc>
        <w:tc>
          <w:tcPr>
            <w:tcW w:w="94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color w:val="auto"/>
              </w:rPr>
              <w:t>Net</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color w:val="auto"/>
              </w:rPr>
              <w:t>Average remaining</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0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280"/>
              <w:spacing w:after="0" w:line="125" w:lineRule="exact"/>
              <w:rPr>
                <w:sz w:val="20"/>
                <w:szCs w:val="20"/>
                <w:color w:val="auto"/>
              </w:rPr>
            </w:pPr>
            <w:r>
              <w:rPr>
                <w:rFonts w:ascii="Times New Roman" w:cs="Times New Roman" w:eastAsia="Times New Roman" w:hAnsi="Times New Roman"/>
                <w:sz w:val="14"/>
                <w:szCs w:val="14"/>
                <w:color w:val="auto"/>
                <w:w w:val="98"/>
              </w:rPr>
              <w:t>value</w:t>
            </w:r>
          </w:p>
        </w:tc>
        <w:tc>
          <w:tcPr>
            <w:tcW w:w="220" w:type="dxa"/>
            <w:vAlign w:val="bottom"/>
          </w:tcPr>
          <w:p>
            <w:pPr>
              <w:spacing w:after="0"/>
              <w:rPr>
                <w:sz w:val="12"/>
                <w:szCs w:val="12"/>
                <w:color w:val="auto"/>
              </w:rPr>
            </w:pPr>
          </w:p>
        </w:tc>
        <w:tc>
          <w:tcPr>
            <w:tcW w:w="1320" w:type="dxa"/>
            <w:vAlign w:val="bottom"/>
            <w:gridSpan w:val="2"/>
          </w:tcPr>
          <w:p>
            <w:pPr>
              <w:ind w:left="140"/>
              <w:spacing w:after="0" w:line="125" w:lineRule="exact"/>
              <w:rPr>
                <w:sz w:val="20"/>
                <w:szCs w:val="20"/>
                <w:color w:val="auto"/>
              </w:rPr>
            </w:pPr>
            <w:r>
              <w:rPr>
                <w:rFonts w:ascii="Times New Roman" w:cs="Times New Roman" w:eastAsia="Times New Roman" w:hAnsi="Times New Roman"/>
                <w:sz w:val="14"/>
                <w:szCs w:val="14"/>
                <w:color w:val="auto"/>
              </w:rPr>
              <w:t>amortization</w:t>
            </w:r>
          </w:p>
        </w:tc>
        <w:tc>
          <w:tcPr>
            <w:tcW w:w="94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color w:val="auto"/>
              </w:rPr>
              <w:t>life (years)</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0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40" w:type="dxa"/>
            <w:vAlign w:val="bottom"/>
            <w:tcBorders>
              <w:bottom w:val="single" w:sz="8" w:color="CCEEFF"/>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gridSpan w:val="3"/>
          </w:tcPr>
          <w:p>
            <w:pPr>
              <w:jc w:val="right"/>
              <w:ind w:right="296"/>
              <w:spacing w:after="0"/>
              <w:rPr>
                <w:sz w:val="20"/>
                <w:szCs w:val="20"/>
                <w:color w:val="auto"/>
              </w:rPr>
            </w:pPr>
            <w:r>
              <w:rPr>
                <w:rFonts w:ascii="Times New Roman" w:cs="Times New Roman" w:eastAsia="Times New Roman" w:hAnsi="Times New Roman"/>
                <w:sz w:val="14"/>
                <w:szCs w:val="14"/>
                <w:color w:val="auto"/>
              </w:rPr>
              <w:t>December 30, 2023</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Pr>
          <w:p>
            <w:pPr>
              <w:spacing w:after="0"/>
              <w:rPr>
                <w:sz w:val="11"/>
                <w:szCs w:val="11"/>
                <w:color w:val="auto"/>
              </w:rPr>
            </w:pPr>
          </w:p>
        </w:tc>
        <w:tc>
          <w:tcPr>
            <w:tcW w:w="1340" w:type="dxa"/>
            <w:vAlign w:val="bottom"/>
            <w:gridSpan w:val="2"/>
          </w:tcPr>
          <w:p>
            <w:pPr>
              <w:jc w:val="center"/>
              <w:ind w:right="280"/>
              <w:spacing w:after="0" w:line="133" w:lineRule="exact"/>
              <w:rPr>
                <w:sz w:val="20"/>
                <w:szCs w:val="20"/>
                <w:color w:val="auto"/>
              </w:rPr>
            </w:pPr>
            <w:r>
              <w:rPr>
                <w:rFonts w:ascii="Times New Roman" w:cs="Times New Roman" w:eastAsia="Times New Roman" w:hAnsi="Times New Roman"/>
                <w:sz w:val="14"/>
                <w:szCs w:val="14"/>
                <w:color w:val="auto"/>
              </w:rPr>
              <w:t>Gross carrying</w:t>
            </w:r>
          </w:p>
        </w:tc>
        <w:tc>
          <w:tcPr>
            <w:tcW w:w="220" w:type="dxa"/>
            <w:vAlign w:val="bottom"/>
          </w:tcPr>
          <w:p>
            <w:pPr>
              <w:spacing w:after="0"/>
              <w:rPr>
                <w:sz w:val="11"/>
                <w:szCs w:val="11"/>
                <w:color w:val="auto"/>
              </w:rPr>
            </w:pPr>
          </w:p>
        </w:tc>
        <w:tc>
          <w:tcPr>
            <w:tcW w:w="1320" w:type="dxa"/>
            <w:vAlign w:val="bottom"/>
            <w:gridSpan w:val="2"/>
          </w:tcPr>
          <w:p>
            <w:pPr>
              <w:ind w:left="120"/>
              <w:spacing w:after="0" w:line="133" w:lineRule="exact"/>
              <w:rPr>
                <w:sz w:val="20"/>
                <w:szCs w:val="20"/>
                <w:color w:val="auto"/>
              </w:rPr>
            </w:pPr>
            <w:r>
              <w:rPr>
                <w:rFonts w:ascii="Times New Roman" w:cs="Times New Roman" w:eastAsia="Times New Roman" w:hAnsi="Times New Roman"/>
                <w:sz w:val="14"/>
                <w:szCs w:val="14"/>
                <w:color w:val="auto"/>
              </w:rPr>
              <w:t>Accumulated</w:t>
            </w:r>
          </w:p>
        </w:tc>
        <w:tc>
          <w:tcPr>
            <w:tcW w:w="94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color w:val="auto"/>
              </w:rPr>
              <w:t>Net</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color w:val="auto"/>
              </w:rPr>
              <w:t>Average remaining</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0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280"/>
              <w:spacing w:after="0" w:line="125" w:lineRule="exact"/>
              <w:rPr>
                <w:sz w:val="20"/>
                <w:szCs w:val="20"/>
                <w:color w:val="auto"/>
              </w:rPr>
            </w:pPr>
            <w:r>
              <w:rPr>
                <w:rFonts w:ascii="Times New Roman" w:cs="Times New Roman" w:eastAsia="Times New Roman" w:hAnsi="Times New Roman"/>
                <w:sz w:val="14"/>
                <w:szCs w:val="14"/>
                <w:color w:val="auto"/>
                <w:w w:val="98"/>
              </w:rPr>
              <w:t>value</w:t>
            </w:r>
          </w:p>
        </w:tc>
        <w:tc>
          <w:tcPr>
            <w:tcW w:w="220" w:type="dxa"/>
            <w:vAlign w:val="bottom"/>
          </w:tcPr>
          <w:p>
            <w:pPr>
              <w:spacing w:after="0"/>
              <w:rPr>
                <w:sz w:val="12"/>
                <w:szCs w:val="12"/>
                <w:color w:val="auto"/>
              </w:rPr>
            </w:pPr>
          </w:p>
        </w:tc>
        <w:tc>
          <w:tcPr>
            <w:tcW w:w="1320" w:type="dxa"/>
            <w:vAlign w:val="bottom"/>
            <w:gridSpan w:val="2"/>
          </w:tcPr>
          <w:p>
            <w:pPr>
              <w:ind w:left="140"/>
              <w:spacing w:after="0" w:line="125" w:lineRule="exact"/>
              <w:rPr>
                <w:sz w:val="20"/>
                <w:szCs w:val="20"/>
                <w:color w:val="auto"/>
              </w:rPr>
            </w:pPr>
            <w:r>
              <w:rPr>
                <w:rFonts w:ascii="Times New Roman" w:cs="Times New Roman" w:eastAsia="Times New Roman" w:hAnsi="Times New Roman"/>
                <w:sz w:val="14"/>
                <w:szCs w:val="14"/>
                <w:color w:val="auto"/>
              </w:rPr>
              <w:t>amortization</w:t>
            </w:r>
          </w:p>
        </w:tc>
        <w:tc>
          <w:tcPr>
            <w:tcW w:w="94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color w:val="auto"/>
              </w:rPr>
              <w:t>life (years)</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0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40" w:type="dxa"/>
            <w:vAlign w:val="bottom"/>
            <w:tcBorders>
              <w:bottom w:val="single" w:sz="8" w:color="CCEEFF"/>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50" w:name="page51"/>
    <w:bookmarkEnd w:id="50"/>
    <w:p>
      <w:pPr>
        <w:spacing w:after="0" w:line="282" w:lineRule="auto"/>
        <w:rPr>
          <w:sz w:val="20"/>
          <w:szCs w:val="20"/>
          <w:color w:val="auto"/>
        </w:rPr>
      </w:pPr>
      <w:r>
        <w:rPr>
          <w:rFonts w:ascii="Times New Roman" w:cs="Times New Roman" w:eastAsia="Times New Roman" w:hAnsi="Times New Roman"/>
          <w:sz w:val="18"/>
          <w:szCs w:val="18"/>
          <w:color w:val="auto"/>
        </w:rPr>
        <w:t>Amortization expense for these amortizable intangible assets was $4.8 million, $7.2 million and $7.9 million for fiscal years 2024, 2023 and 2022, respectively. Estimated aggregate amortization expense for such intangibles for the fiscal years subsequent to December 28, 2024 is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4"/>
                <w:szCs w:val="14"/>
                <w:color w:val="auto"/>
              </w:rPr>
              <w:t>2025</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4"/>
                <w:szCs w:val="14"/>
                <w:color w:val="auto"/>
              </w:rPr>
              <w:t>2026</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4"/>
                <w:szCs w:val="14"/>
                <w:color w:val="auto"/>
              </w:rPr>
              <w:t>2027</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499"/>
              <w:spacing w:after="0"/>
              <w:rPr>
                <w:sz w:val="20"/>
                <w:szCs w:val="20"/>
                <w:color w:val="auto"/>
              </w:rPr>
            </w:pPr>
            <w:r>
              <w:rPr>
                <w:rFonts w:ascii="Times New Roman" w:cs="Times New Roman" w:eastAsia="Times New Roman" w:hAnsi="Times New Roman"/>
                <w:sz w:val="14"/>
                <w:szCs w:val="14"/>
                <w:color w:val="auto"/>
              </w:rPr>
              <w:t>2028</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color w:val="auto"/>
              </w:rPr>
              <w:t>2029</w:t>
            </w: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bl>
    <w:p>
      <w:pPr>
        <w:spacing w:after="0" w:line="275"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and certain of its subsidiaries sell, on a continuous basis without recourse, their trade receivables to Rockford ARS, LLC (“Rockford ARS”), a wholly-owned bankruptcy-remote subsidiary of the Company. On December 7, 2022, Rockford ARS entered into a receivables purchase agreement (“RPA”), which was subsequently amended on April 15, 2024, to sell up to $125.0 million of receivables to certain purchasers (the “Purchasers”) on a recurring basis in exchange for cash (referred to as “capital” in the RPA) equal to the gross receivables transferred. The parties intend that the transfers of receivables to the Purchasers constitute purchases and sales of receivables. Rockford ARS has guaranteed to each Purchaser the prompt payment of sold receivables, and has granted a security interest in its assets for the benefit of the Purchasers. Under the RPA, which matures on December 5, 2025 each Purchaser’s share of capital accrues yield at a floating rate plus an applicable margin. The Company is the master servicer under the RPA, and is responsible for administering and collecting receivables.</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proceeds of the RPA are classified as operating activities in the Company's Consolidated Statement of Cash Flows. Cash received from collections of sold receivables may be used to fund additional purchases of receivables on a revolving basis or to return all or any portion of outstanding capital of the Purchasers. Subsequent collections on the pledged receivables, which have not been sold, will be classified as operating cash flows at the time of collection. Total receivables sold under the RPA were $451.7 million and $613.9 million in fiscal years 2024 and 2023, respectively, and total cash collections under the RPA were $433.3 million and $662.7 million in fiscal years 2024 and 2023, respectively. The fair value of the sold receivables approximated book value due to their credit quality and short-term nature, and as a result, no gain or loss on sale of receivables was recorded.</w:t>
      </w:r>
    </w:p>
    <w:p>
      <w:pPr>
        <w:spacing w:after="0" w:line="21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As of the fiscal years ended December 28, 2024 and December 30, 2023, the amount sold to the Purchasers was $112.4 million and $93.9 million, respectively, which was derecognized from the Consolidated Balance Sheets. As collateral against sold receivables, Rockford ARS maintains a certain level of unsold receivables, which was $64.9 million and $62.3 million as of the fiscal years ended December 28, 2024 and December 30, 2023, respectively.</w:t>
      </w:r>
    </w:p>
    <w:p>
      <w:pPr>
        <w:spacing w:after="0" w:line="154" w:lineRule="exact"/>
        <w:rPr>
          <w:sz w:val="20"/>
          <w:szCs w:val="20"/>
          <w:color w:val="auto"/>
        </w:rPr>
      </w:pPr>
    </w:p>
    <w:p>
      <w:pPr>
        <w:ind w:right="6480" w:firstLine="8"/>
        <w:spacing w:after="0" w:line="354" w:lineRule="auto"/>
        <w:tabs>
          <w:tab w:leader="none" w:pos="369"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 Revenue Recognition and Performance Obligations</w:t>
      </w:r>
    </w:p>
    <w:p>
      <w:pPr>
        <w:spacing w:after="0" w:line="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reports disaggregated revenue for the wholesale and direct-to-consumer sales channels, which are reconciled to the Company’s reportable segments. The wholesale channel includes royalty revenues, which operates in a similar manner as other wholesale revenues due to similar oversight and management, customer base, the performance obligation (footwear and apparel goods) and point in time completion of the performance obligation.</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Fiscal Year</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0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Active Group:</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Wholesale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1,086.6</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Direct-to-consumer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483.6</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1,570.2</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 Group:</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Wholesale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532.0</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Direct-to-consumer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590.5</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Wholesale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374.4</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Direct-to-consumer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524.1</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2,684.8</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1" w:name="page52"/>
    <w:bookmarkEnd w:id="51"/>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agreements to license symbolic intellectual property with minimum guarantees or fixed consideration. The Company is due $39.4 million of remaining fixed transaction price under its license agreements as of December 28, 2024, which it expects to recognize per the terms of its contracts over the course of time through December 2028. The Company has elected to omit the remaining variable consideration under its license agreements given the Company recognizes revenue equal to what it has the right to invoice and that amount corresponds directly with the value to the customer of the Company’s performance to date.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Reserves for Variable Consideration</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Revenue is recorded at the net sales price (“transaction price”), which includes estimates of variable consideration for which reserves are established. Components of variable consideration include trade discounts and allowances, product returns, customer markdowns, customer rebates and other sales incentives relating to the sale of the Company’s products. These reserves, as detailed below, are based on the amounts earned, or to be claimed on the related sales. These estimates take into consideration a range of possible outcomes, which are probability-weighted in accordance with the expected value method for relevant factors such as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respective underlying contracts. Revenue recognized during fiscal years 2024 and 2023 related to the Company’s contract liabilities was nominal.</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contract balances are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20" w:type="dxa"/>
            <w:vAlign w:val="bottom"/>
          </w:tcPr>
          <w:p>
            <w:pPr>
              <w:spacing w:after="0"/>
              <w:rPr>
                <w:sz w:val="13"/>
                <w:szCs w:val="13"/>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December 28,</w:t>
            </w:r>
          </w:p>
        </w:tc>
        <w:tc>
          <w:tcPr>
            <w:tcW w:w="220" w:type="dxa"/>
            <w:vAlign w:val="bottom"/>
          </w:tcPr>
          <w:p>
            <w:pPr>
              <w:spacing w:after="0"/>
              <w:rPr>
                <w:sz w:val="13"/>
                <w:szCs w:val="13"/>
                <w:color w:val="auto"/>
              </w:rPr>
            </w:pPr>
          </w:p>
        </w:tc>
        <w:tc>
          <w:tcPr>
            <w:tcW w:w="1220" w:type="dxa"/>
            <w:vAlign w:val="bottom"/>
          </w:tcPr>
          <w:p>
            <w:pPr>
              <w:jc w:val="right"/>
              <w:ind w:right="235"/>
              <w:spacing w:after="0"/>
              <w:rPr>
                <w:sz w:val="20"/>
                <w:szCs w:val="20"/>
                <w:color w:val="auto"/>
              </w:rPr>
            </w:pPr>
            <w:r>
              <w:rPr>
                <w:rFonts w:ascii="Times New Roman" w:cs="Times New Roman" w:eastAsia="Times New Roman" w:hAnsi="Times New Roman"/>
                <w:sz w:val="14"/>
                <w:szCs w:val="14"/>
                <w:color w:val="auto"/>
              </w:rPr>
              <w:t>December 30,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2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right"/>
              <w:ind w:right="495"/>
              <w:spacing w:after="0" w:line="125"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right"/>
              <w:ind w:right="495"/>
              <w:spacing w:after="0" w:line="125" w:lineRule="exact"/>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7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returns reserve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markdowns reserve</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sales incentives reserve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rebates liability</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advances liability</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amount of variable consideration included in the transaction price may be constrained and is included in the net sales price only to the extent that it is probable that a significant reversal in the amount of the cumulative revenue recognized under the contract will not occur in a future period. Actual amounts of consideration ultimately received may differ from initial estimates. If actual results in the future vary from initial estimates, the Company subsequently adjusts these estimates, which would affect net revenue and earnings in the period such variances become known.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Returns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Consistent with industry practice, the Company offers limited product return rights for various return scenarios. The Company estimates the amount of product sales that may be returned by customers and records this estimate as a reduction of revenue in the period the related product revenue is recognized, and an offsetting increase to other accrued liabilities on the consolidated balance sheets. The Company believes there is sufficient current and historical information to record an estimate of the expected value of product returns although actual returns could differ from recorded amounts. The estimated cost of inventory for product returns is recorded in prepaid expenses and other current assets on the consolidated balance sheets. The estimated cost of inventory for product returns was $4.4 million and $6.1 million at December 28, 2024 and December 30, 2023, respectively.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Markdowns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Markdowns represent the estimated reserve resulting from commitments to sell products to the Company’s customers at prices lower than the list prices charged to customers who directly purchase the product from the Company. Customers charge the Company for the difference between what they pay for the product and the ultimate selling price to the end consumer. The reserve is established in the same period that the related revenue is recognized, resulting in a reduction of product revenue and a reduction to trade receivables, net on the consolidated balance sheets.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Sales Incentives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accrues for other customer allowances for certain customers that purchase required volumes or meet other criteria. These reserves are established in the same period that the related revenue is recognized, resulting in a reduction of product revenue and a reduction to trade receivables, net on the consolidated balance sheets depending on the nature of the item.</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Rebates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accrues for customer rebates related to customers who purchase required volumes or meet other criteria. These reserves are established in the same period that the related revenue is recognized, resulting in a reduction of product revenue and an establishment of a current liability on the consolidated balance sheets.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Advances</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recognizes a liability for amounts received from customers before revenue is recognized. Customer advances are recognized in other accrued liabilities on the consolidated balance sheets.</w:t>
      </w:r>
    </w:p>
    <w:p>
      <w:pPr>
        <w:spacing w:after="0" w:line="158" w:lineRule="exact"/>
        <w:rPr>
          <w:sz w:val="20"/>
          <w:szCs w:val="20"/>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used the LIFO method to value inventories of $55.4 million and $88.8 million at December 28, 2024 and December 30, 2023, respectively. During fiscal years 2024 and 2023, changes in the LIFO reserve decreased cost of goods sold by $3.9 million and increased cost of goods sold $1.3 million, respectively. If the FIFO method had been used, inventories would have been $8.5 million and $12.3 million higher than reported at December 28, 2024 and December 30, 2023, respectively.</w:t>
      </w:r>
    </w:p>
    <w:p>
      <w:pPr>
        <w:spacing w:after="0" w:line="17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DEBT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debt consists of the following obligations: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Pr>
          <w:p>
            <w:pPr>
              <w:spacing w:after="0"/>
              <w:rPr>
                <w:sz w:val="13"/>
                <w:szCs w:val="13"/>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December 28,</w:t>
            </w:r>
          </w:p>
        </w:tc>
        <w:tc>
          <w:tcPr>
            <w:tcW w:w="200" w:type="dxa"/>
            <w:vAlign w:val="bottom"/>
          </w:tcPr>
          <w:p>
            <w:pPr>
              <w:spacing w:after="0"/>
              <w:rPr>
                <w:sz w:val="13"/>
                <w:szCs w:val="13"/>
                <w:color w:val="auto"/>
              </w:rPr>
            </w:pPr>
          </w:p>
        </w:tc>
        <w:tc>
          <w:tcPr>
            <w:tcW w:w="1200" w:type="dxa"/>
            <w:vAlign w:val="bottom"/>
          </w:tcPr>
          <w:p>
            <w:pPr>
              <w:jc w:val="right"/>
              <w:ind w:right="215"/>
              <w:spacing w:after="0"/>
              <w:rPr>
                <w:sz w:val="20"/>
                <w:szCs w:val="20"/>
                <w:color w:val="auto"/>
              </w:rPr>
            </w:pPr>
            <w:r>
              <w:rPr>
                <w:rFonts w:ascii="Times New Roman" w:cs="Times New Roman" w:eastAsia="Times New Roman" w:hAnsi="Times New Roman"/>
                <w:sz w:val="14"/>
                <w:szCs w:val="14"/>
                <w:color w:val="auto"/>
              </w:rPr>
              <w:t>December 30,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2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right"/>
              <w:ind w:right="475"/>
              <w:spacing w:after="0" w:line="125" w:lineRule="exact"/>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right"/>
              <w:ind w:right="475"/>
              <w:spacing w:after="0" w:line="125" w:lineRule="exact"/>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7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Facility, due October 21, 2026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Notes, 4.000% interest, due August 15, 2029</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 under revolving credit agreements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Unamortized deferred financing costs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7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Credit Agreement provides for a term loan A facility (the “Term Facility”) and for a revolving credit facility (the “Revolving Facility” and, together with the Term Facility, the “Senior Credit Facilities”). The maturity date of the loans under the Senior Credit Facilities is October 21, 2026. The Credit Agreement provides for a debt capacity of up to an aggregate debt amount (including outstanding term loan principal and revolver commitment amounts in addition to permitted incremental debt) not to exceed $2.0 billion unless certain specified conditions set forth in the Credit Agreement are met.</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 Facility requires quarterly principal payments with a balloon payment due on October 21, 2026. The scheduled principal payments due under the Term Facility over the next 12 months total $10.0 million as of December 28, 2024 and are recorded as current maturities of long-term debt on the consolidated balance sheets. In addition, the Company made payments towards the Term Facility in accordance with disposition proceeds language contained in the Credit Agreement.</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Revolving Facility allows the Company to borrow up to an aggregate amount of $800.0 million. The Revolving Facility also includes a $100.0 million swingline subfacility and a $50.0 million letter of credit subfacility. The Company had outstanding letters of credit under the Revolving Facility of $6.0 million and $6.6 million as of December 28, 2024 and December 30, 2023, respectively. These outstanding letters of credit reduce the borrowing capacity under the Revolving Facility.</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interest rates applicable to amounts outstanding under Term Facility and to U.S. dollar denominated amounts outstanding under the Revolving Facility are, at the Company’s option, either (1) the Alternate Base Rate plus an Applicable Margin as determined by the Company’s Consolidated Leverage Ratio, within a range of 0.125% to 1.000%, or (2) the Eurocurrency Rate plus an Applicable Margin as determined by the Company’s Consolidated Leverage Ratio, within a range of 1.125% to 2.000% (all capitalized terms used in this sentence are as defined in the Credit Agreement). At December 28, 2024, the Term Facility and the Revolving Facility had a weighted-average interest rate of 5.84%.</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obligations of the Company pursuant to the Credit Agreement are guaranteed by substantially all of the Company’s material domestic subsidiaries and secured by substantially all of the personal and real property of the Company and its material domestic subsidiaries, subject to certain exceptions.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Senior Credit Facilities also contain certain affirmative and negative covenants, including covenants that limit the ability of the Company and its Restricted Subsidiaries to, among other things: incur or guarantee indebtedness; incur liens; pay dividends or repurchase stock; enter into transactions with affiliates; consummate asset sales, acquisitions or mergers; prepay certain other</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3" w:name="page54"/>
    <w:bookmarkEnd w:id="53"/>
    <w:p>
      <w:pPr>
        <w:jc w:val="both"/>
        <w:spacing w:after="0" w:line="261" w:lineRule="auto"/>
        <w:rPr>
          <w:sz w:val="20"/>
          <w:szCs w:val="20"/>
          <w:color w:val="auto"/>
        </w:rPr>
      </w:pPr>
      <w:r>
        <w:rPr>
          <w:rFonts w:ascii="Times New Roman" w:cs="Times New Roman" w:eastAsia="Times New Roman" w:hAnsi="Times New Roman"/>
          <w:sz w:val="18"/>
          <w:szCs w:val="18"/>
          <w:color w:val="auto"/>
        </w:rPr>
        <w:t>indebtedness; or make investments, as well as covenants restricting the activities of certain foreign subsidiaries of the Company that hold intellectual property related assets. Further, the Senior Credit Facilities require compliance with the following financial covenants: a maximum Consolidated Leverage Ratio and a minimum Consolidated Interest Coverage Ratio (all capitalized terms used in this paragraph are as defined in the Senior Credit Facilities). As of December 28, 2024, the Company was in compliance with all covenants and performance ratios under the Senior Credit Facilities.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21, 2023, the Company entered into the fifth amendment (the "Fifth Amendment") to its Credit Agreement, dated as of July 31, 2012. The Fifth Amendment provides the Company with additional allowable disposition capacity in fiscal 2023 and fiscal 2024 to support the Company's transformation.</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$550.0 million 4.000% senior notes issued on August 26, 2021 are due on August 15, 2029. Related interest payments are due semi-annually. The senior notes are guaranteed by substantially all of the Company’s domestic subsidiaries.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 foreign revolving credit facility with aggregate available borrowings of $1.0 million that are uncommitted and, therefore, each borrowing against the facility is subject to approval by the lender. There were no borrowings against this facility as of December 28, 2024 and December 30, 2023.</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included in interest expense the amortization of deferred financing costs of $2.6 million, $2.2 million, and $2.0 million in fiscal years 2024, 2023 and 2022,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maturities of debt for the fiscal years subsequent to December 28, 2024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ind w:right="379"/>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ind w:right="379"/>
              <w:spacing w:after="0"/>
              <w:rPr>
                <w:sz w:val="20"/>
                <w:szCs w:val="20"/>
                <w:color w:val="auto"/>
              </w:rPr>
            </w:pPr>
            <w:r>
              <w:rPr>
                <w:rFonts w:ascii="Times New Roman" w:cs="Times New Roman" w:eastAsia="Times New Roman" w:hAnsi="Times New Roman"/>
                <w:sz w:val="14"/>
                <w:szCs w:val="14"/>
                <w:color w:val="auto"/>
              </w:rPr>
              <w:t>2027</w:t>
            </w:r>
          </w:p>
        </w:tc>
        <w:tc>
          <w:tcPr>
            <w:tcW w:w="100" w:type="dxa"/>
            <w:vAlign w:val="bottom"/>
          </w:tcPr>
          <w:p>
            <w:pPr>
              <w:spacing w:after="0"/>
              <w:rPr>
                <w:sz w:val="13"/>
                <w:szCs w:val="13"/>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4"/>
                <w:szCs w:val="14"/>
                <w:color w:val="auto"/>
              </w:rPr>
              <w:t>2028</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ind w:right="359"/>
              <w:spacing w:after="0"/>
              <w:rPr>
                <w:sz w:val="20"/>
                <w:szCs w:val="20"/>
                <w:color w:val="auto"/>
              </w:rPr>
            </w:pPr>
            <w:r>
              <w:rPr>
                <w:rFonts w:ascii="Times New Roman" w:cs="Times New Roman" w:eastAsia="Times New Roman" w:hAnsi="Times New Roman"/>
                <w:sz w:val="14"/>
                <w:szCs w:val="14"/>
                <w:color w:val="auto"/>
              </w:rPr>
              <w:t>2029</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Thereafter</w:t>
            </w: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maturities of debt</w:t>
            </w:r>
          </w:p>
        </w:tc>
        <w:tc>
          <w:tcPr>
            <w:tcW w:w="76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r>
    </w:tbl>
    <w:p>
      <w:pPr>
        <w:spacing w:after="0" w:line="315" w:lineRule="exact"/>
        <w:rPr>
          <w:sz w:val="20"/>
          <w:szCs w:val="20"/>
          <w:color w:val="auto"/>
        </w:rPr>
      </w:pPr>
    </w:p>
    <w:p>
      <w:pPr>
        <w:ind w:right="7100" w:firstLine="8"/>
        <w:spacing w:after="0" w:line="397" w:lineRule="auto"/>
        <w:tabs>
          <w:tab w:leader="none" w:pos="324" w:val="left"/>
        </w:tabs>
        <w:numPr>
          <w:ilvl w:val="0"/>
          <w:numId w:val="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PROPERTY, PLANT AND EQUIPMENT </w:t>
      </w:r>
      <w:r>
        <w:rPr>
          <w:rFonts w:ascii="Times New Roman" w:cs="Times New Roman" w:eastAsia="Times New Roman" w:hAnsi="Times New Roman"/>
          <w:sz w:val="17"/>
          <w:szCs w:val="17"/>
          <w:color w:val="auto"/>
        </w:rPr>
        <w:t>Property, plant and equipment consisted of the following:</w:t>
      </w: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8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20" w:type="dxa"/>
            <w:vAlign w:val="bottom"/>
          </w:tcPr>
          <w:p>
            <w:pPr>
              <w:spacing w:after="0"/>
              <w:rPr>
                <w:sz w:val="12"/>
                <w:szCs w:val="12"/>
                <w:color w:val="auto"/>
              </w:rPr>
            </w:pPr>
          </w:p>
        </w:tc>
        <w:tc>
          <w:tcPr>
            <w:tcW w:w="13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December 28,</w:t>
            </w:r>
          </w:p>
        </w:tc>
        <w:tc>
          <w:tcPr>
            <w:tcW w:w="140" w:type="dxa"/>
            <w:vAlign w:val="bottom"/>
          </w:tcPr>
          <w:p>
            <w:pPr>
              <w:spacing w:after="0"/>
              <w:rPr>
                <w:sz w:val="12"/>
                <w:szCs w:val="12"/>
                <w:color w:val="auto"/>
              </w:rPr>
            </w:pPr>
          </w:p>
        </w:tc>
        <w:tc>
          <w:tcPr>
            <w:tcW w:w="130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color w:val="auto"/>
              </w:rPr>
              <w:t>December 30, 2023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2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right"/>
              <w:ind w:right="494"/>
              <w:spacing w:after="0" w:line="125"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7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2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Software</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cost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2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7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$21.4 million, $27.7 million and $26.7 million for fiscal years 2024, 2023 and 2022,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Company’s lease cost.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color w:val="auto"/>
              </w:rPr>
              <w:t>Fiscal Year</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jc w:val="right"/>
              <w:ind w:right="535"/>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jc w:val="right"/>
              <w:ind w:right="533"/>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7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0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7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Company’s supplemental cash flow information related to leases.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color w:val="auto"/>
              </w:rPr>
              <w:t>Fiscal Year</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jc w:val="right"/>
              <w:ind w:right="539"/>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jc w:val="right"/>
              <w:ind w:right="536"/>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7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assets obtained in exchange for lease liabilities</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weighted-average discount rate for operating leases as of December 28, 2024 is 5.1%. The weighted-average remaining lease term for operating leases as of December 28, 2024 is 7.0 years. Future undiscounted cash flows for operating leases for the fiscal periods subsequent to December 28, 2024 are as follows: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Pr>
          <w:p>
            <w:pPr>
              <w:spacing w:after="0"/>
              <w:rPr>
                <w:sz w:val="13"/>
                <w:szCs w:val="13"/>
                <w:color w:val="auto"/>
              </w:rPr>
            </w:pPr>
          </w:p>
        </w:tc>
        <w:tc>
          <w:tcPr>
            <w:tcW w:w="134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Operating Leases</w:t>
            </w: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8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9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30"/>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29"/>
        </w:trPr>
        <w:tc>
          <w:tcPr>
            <w:tcW w:w="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29"/>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30"/>
        </w:trPr>
        <w:tc>
          <w:tcPr>
            <w:tcW w:w="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8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29"/>
        </w:trPr>
        <w:tc>
          <w:tcPr>
            <w:tcW w:w="20" w:type="dxa"/>
            <w:vAlign w:val="bottom"/>
            <w:tcBorders>
              <w:bottom w:val="single" w:sz="8" w:color="CCEEFF"/>
            </w:tcBorders>
          </w:tcPr>
          <w:p>
            <w:pPr>
              <w:spacing w:after="0"/>
              <w:rPr>
                <w:sz w:val="19"/>
                <w:szCs w:val="19"/>
                <w:color w:val="auto"/>
              </w:rPr>
            </w:pPr>
          </w:p>
        </w:tc>
        <w:tc>
          <w:tcPr>
            <w:tcW w:w="96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w:t>
            </w:r>
          </w:p>
        </w:tc>
      </w:tr>
      <w:tr>
        <w:trPr>
          <w:trHeight w:val="223"/>
        </w:trPr>
        <w:tc>
          <w:tcPr>
            <w:tcW w:w="20" w:type="dxa"/>
            <w:vAlign w:val="bottom"/>
            <w:shd w:val="clear" w:color="auto" w:fill="CCEEFF"/>
          </w:tcPr>
          <w:p>
            <w:pPr>
              <w:spacing w:after="0"/>
              <w:rPr>
                <w:sz w:val="19"/>
                <w:szCs w:val="19"/>
                <w:color w:val="auto"/>
              </w:rPr>
            </w:pPr>
          </w:p>
        </w:tc>
        <w:tc>
          <w:tcPr>
            <w:tcW w:w="9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payments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w:t>
            </w:r>
          </w:p>
        </w:tc>
      </w:tr>
      <w:tr>
        <w:trPr>
          <w:trHeight w:val="229"/>
        </w:trPr>
        <w:tc>
          <w:tcPr>
            <w:tcW w:w="20" w:type="dxa"/>
            <w:vAlign w:val="bottom"/>
            <w:tcBorders>
              <w:bottom w:val="single" w:sz="8" w:color="CCEEFF"/>
            </w:tcBorders>
          </w:tcPr>
          <w:p>
            <w:pPr>
              <w:spacing w:after="0"/>
              <w:rPr>
                <w:sz w:val="19"/>
                <w:szCs w:val="19"/>
                <w:color w:val="auto"/>
              </w:rPr>
            </w:pPr>
          </w:p>
        </w:tc>
        <w:tc>
          <w:tcPr>
            <w:tcW w:w="96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Recognized lease liability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enter into any real estate leases with commencement dates subsequent to December 28,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DERIVATIVE FINANCIAL INSTRUMENTS</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utilizes foreign currency forward exchange contracts designated as cash flow hedges to manage the volatility associated primarily with U.S. dollar inventory purchases made by non-U.S. wholesale operations in the normal course of business. These foreign currency forward exchange hedge contracts extended out to a maximum of 531 days and 531 days as of December 28, 2024 and December 30, 2023, respectively. If, in the future, the foreign exchange contracts are determined not to be highly effective or are terminated before their contractual termination dates, the Company would remove the hedge designation from those contracts and reclassify into earnings the unrealized gains or losses that would otherwise be included in accumulated other comprehensive income (loss) within stockholders’ equity.</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utilizes foreign currency forward exchange contracts that are not designated as hedging instruments to manage foreign currency transaction exposure. Foreign currency derivatives not designated as hedging instruments are offset by foreign exchange gains or losses resulting from the underlying exposures of foreign currency denominated assets and liabilities.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an interest rate swap arrangement, which unless otherwise terminated, will mature on May 30, 2025. This agreement, which exchanges floating rate interest payments for fixed rate interest payments over the life of the agreement without the exchange of the underlying notional amounts, has been designated as a cash flow hedge of the underlying debt. The notional amount of the interest rate swap arrangement is used to measure interest to be paid or received and does not represent the amount of exposure to credit loss. The differential paid or received on the interest rate swap arrangement is recognized as interest expense, net. In accordance with ASC 815, the Company has formally documented the relationship between the interest rate swap and the variable rate borrowing, as well as its risk management objective and strategy for undertaking the hedge transactions. This process included linking the derivative to the specific liability or asset on the balance sheet. The Company also assessed at the inception of the hedge, and continues to assess on an ongoing basis, whether the derivative used in the hedging transaction is highly effective in offsetting changes in the cash flows of the hedged item.</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notional amounts of the Company’s derivative instruments are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(Dollars in millions)</w:t>
            </w:r>
          </w:p>
        </w:tc>
        <w:tc>
          <w:tcPr>
            <w:tcW w:w="200" w:type="dxa"/>
            <w:vAlign w:val="bottom"/>
          </w:tcPr>
          <w:p>
            <w:pPr>
              <w:spacing w:after="0"/>
              <w:rPr>
                <w:sz w:val="13"/>
                <w:szCs w:val="13"/>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December 28,</w:t>
            </w:r>
          </w:p>
        </w:tc>
        <w:tc>
          <w:tcPr>
            <w:tcW w:w="220" w:type="dxa"/>
            <w:vAlign w:val="bottom"/>
          </w:tcPr>
          <w:p>
            <w:pPr>
              <w:spacing w:after="0"/>
              <w:rPr>
                <w:sz w:val="13"/>
                <w:szCs w:val="13"/>
                <w:color w:val="auto"/>
              </w:rPr>
            </w:pPr>
          </w:p>
        </w:tc>
        <w:tc>
          <w:tcPr>
            <w:tcW w:w="1220" w:type="dxa"/>
            <w:vAlign w:val="bottom"/>
          </w:tcPr>
          <w:p>
            <w:pPr>
              <w:jc w:val="right"/>
              <w:ind w:right="239"/>
              <w:spacing w:after="0"/>
              <w:rPr>
                <w:sz w:val="20"/>
                <w:szCs w:val="20"/>
                <w:color w:val="auto"/>
              </w:rPr>
            </w:pPr>
            <w:r>
              <w:rPr>
                <w:rFonts w:ascii="Times New Roman" w:cs="Times New Roman" w:eastAsia="Times New Roman" w:hAnsi="Times New Roman"/>
                <w:sz w:val="14"/>
                <w:szCs w:val="14"/>
                <w:color w:val="auto"/>
              </w:rPr>
              <w:t>December 30,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right"/>
              <w:ind w:right="479"/>
              <w:spacing w:after="0" w:line="125" w:lineRule="exact"/>
              <w:rPr>
                <w:sz w:val="20"/>
                <w:szCs w:val="20"/>
                <w:color w:val="auto"/>
              </w:rPr>
            </w:pPr>
            <w:r>
              <w:rPr>
                <w:rFonts w:ascii="Times New Roman" w:cs="Times New Roman" w:eastAsia="Times New Roman" w:hAnsi="Times New Roman"/>
                <w:sz w:val="14"/>
                <w:szCs w:val="14"/>
                <w:color w:val="auto"/>
              </w:rPr>
              <w:t>2024</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right"/>
              <w:ind w:right="499"/>
              <w:spacing w:after="0" w:line="125" w:lineRule="exact"/>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180" w:type="dxa"/>
            <w:vAlign w:val="bottom"/>
            <w:tcBorders>
              <w:top w:val="single" w:sz="8" w:color="auto"/>
              <w:bottom w:val="single" w:sz="8" w:color="CCEEFF"/>
            </w:tcBorders>
          </w:tcPr>
          <w:p>
            <w:pPr>
              <w:spacing w:after="0"/>
              <w:rPr>
                <w:sz w:val="2"/>
                <w:szCs w:val="2"/>
                <w:color w:val="auto"/>
              </w:rPr>
            </w:pPr>
          </w:p>
        </w:tc>
        <w:tc>
          <w:tcPr>
            <w:tcW w:w="6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hedge contracts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t>The recorded fair values of the Company’s derivative instruments are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Pr>
          <w:p>
            <w:pPr>
              <w:spacing w:after="0"/>
              <w:rPr>
                <w:sz w:val="13"/>
                <w:szCs w:val="13"/>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December 28,</w:t>
            </w:r>
          </w:p>
        </w:tc>
        <w:tc>
          <w:tcPr>
            <w:tcW w:w="220" w:type="dxa"/>
            <w:vAlign w:val="bottom"/>
          </w:tcPr>
          <w:p>
            <w:pPr>
              <w:spacing w:after="0"/>
              <w:rPr>
                <w:sz w:val="13"/>
                <w:szCs w:val="13"/>
                <w:color w:val="auto"/>
              </w:rPr>
            </w:pPr>
          </w:p>
        </w:tc>
        <w:tc>
          <w:tcPr>
            <w:tcW w:w="1220" w:type="dxa"/>
            <w:vAlign w:val="bottom"/>
          </w:tcPr>
          <w:p>
            <w:pPr>
              <w:jc w:val="right"/>
              <w:ind w:right="237"/>
              <w:spacing w:after="0"/>
              <w:rPr>
                <w:sz w:val="20"/>
                <w:szCs w:val="20"/>
                <w:color w:val="auto"/>
              </w:rPr>
            </w:pPr>
            <w:r>
              <w:rPr>
                <w:rFonts w:ascii="Times New Roman" w:cs="Times New Roman" w:eastAsia="Times New Roman" w:hAnsi="Times New Roman"/>
                <w:sz w:val="14"/>
                <w:szCs w:val="14"/>
                <w:color w:val="auto"/>
              </w:rPr>
              <w:t>December 30,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right"/>
              <w:ind w:right="477"/>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right"/>
              <w:ind w:right="497"/>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7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Foreign exchange hedge contracts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center"/>
              <w:ind w:left="777"/>
              <w:spacing w:after="0"/>
              <w:rPr>
                <w:sz w:val="20"/>
                <w:szCs w:val="20"/>
                <w:color w:val="auto"/>
              </w:rPr>
            </w:pPr>
            <w:r>
              <w:rPr>
                <w:rFonts w:ascii="Times New Roman" w:cs="Times New Roman" w:eastAsia="Times New Roman" w:hAnsi="Times New Roman"/>
                <w:sz w:val="18"/>
                <w:szCs w:val="18"/>
                <w:color w:val="auto"/>
              </w:rPr>
              <w:t>9.1</w:t>
            </w:r>
          </w:p>
        </w:tc>
        <w:tc>
          <w:tcPr>
            <w:tcW w:w="2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1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rate swap</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777"/>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1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 exchange hedge contracts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center"/>
              <w:ind w:left="757"/>
              <w:spacing w:after="0"/>
              <w:rPr>
                <w:sz w:val="20"/>
                <w:szCs w:val="20"/>
                <w:color w:val="auto"/>
              </w:rPr>
            </w:pPr>
            <w:r>
              <w:rPr>
                <w:rFonts w:ascii="Times New Roman" w:cs="Times New Roman" w:eastAsia="Times New Roman" w:hAnsi="Times New Roman"/>
                <w:sz w:val="18"/>
                <w:szCs w:val="18"/>
                <w:color w:val="auto"/>
                <w:w w:val="98"/>
              </w:rPr>
              <w:t>(0.7)</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Foreign exchange hedge contract financial assets are recorded to prepaid expenses and other current assets and financial liabilities are recorded to other accrued liabilities on the consolidated balance sheets. Interest rate swap financial assets are recorded to other assets on the consolidated balance sheets.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STOCK-BASED COMPENSATION</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recognized stock-based compensation expense of $19.1 million, $15.2 million and $33.4 million and related income tax benefits of $3.7 million, $2.9 million and $6.5 million for grants under its stock-based compensation plans in the statements of operations for fiscal years 2024, 2023 and 2022, respectively.</w:t>
      </w:r>
    </w:p>
    <w:p>
      <w:pPr>
        <w:spacing w:after="0" w:line="1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28, 2024, the Company had 5,043,053 stock incentive units (stock options, stock appreciation rights, restricted stock, restricted stock units and common stock) available for issuance under the Stock Incentive Plan of 2024 ("Stock Plan"). Each stock option or stock appreciation right granted counts as 1.0 stock incentive unit. Stock options granted under the Stock Plan have an exercise price equal to the fair market value of the underlying stock on the grant date, expire no later than ten years from the grant date and generally vest over three years. All other awards granted, including Restricted Awards and Performance Awards, count as 1.0 stock incentive units for each share, restricted share or restricted stock unit granted. Restricted Awards issued under the Stock Plan are subject to certain restrictions, including a prohibition against any sale, transfer or other disposition by the officer or employee during the vesting period (except for certain transfers for estate planning purposes for certain officers), and a requirement to forfeit all or a certain portion of the award upon certain terminations of employment. These restrictions typically lapse over a three-year period from the date of the award. The Company has elected to recognize expense for these stock-based incentive plans ratably over the vesting term on a straight-line basis. Certain option and restricted awards provide for accelerated vesting under various scenarios, including retirement, death and disability, and upon a change in control of the Company. Awards issued to employees that meet the specified retirement age and service requirements are vested upon the employee's retirement in accordance with plan provisions and the applicable award agreements issued under the Stock Plan. The Company issues shares to plan participants upon exercise or vesting of stock-based incentive awards from either authorized, but unissued shares or treasury shares.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of Directors awards an annual grant of Performance Awards to certain plan participants. The number of Performance Awards that will be earned (and eligible to vest) during the performance period will depend on the Company’s level of success in achieving two specifically identified performance targets. Any portion of the Performance Awards that are not earned by the end of the three-year measurement period will be forfeited. The final determination of the number of Performance Awards to be issued in respect to an award is determined by the Compensation Committee of the Company’s Board of Directors.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Restricted Awards and Performance Awards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unvested Restricted Awards and Performance Awards is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Weighted-</w:t>
            </w: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center"/>
              <w:ind w:right="194"/>
              <w:spacing w:after="0"/>
              <w:rPr>
                <w:sz w:val="20"/>
                <w:szCs w:val="20"/>
                <w:color w:val="auto"/>
              </w:rPr>
            </w:pPr>
            <w:r>
              <w:rPr>
                <w:rFonts w:ascii="Times New Roman" w:cs="Times New Roman" w:eastAsia="Times New Roman" w:hAnsi="Times New Roman"/>
                <w:sz w:val="14"/>
                <w:szCs w:val="14"/>
                <w:color w:val="auto"/>
              </w:rPr>
              <w:t>Weighted-</w:t>
            </w: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156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color w:val="auto"/>
              </w:rPr>
              <w:t>Restricted</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156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color w:val="auto"/>
              </w:rPr>
              <w:t>Performance</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jc w:val="center"/>
              <w:ind w:right="194"/>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0" w:type="dxa"/>
            <w:vAlign w:val="bottom"/>
          </w:tcPr>
          <w:p>
            <w:pPr>
              <w:spacing w:after="0"/>
              <w:rPr>
                <w:sz w:val="1"/>
                <w:szCs w:val="1"/>
                <w:color w:val="auto"/>
              </w:rPr>
            </w:pPr>
          </w:p>
        </w:tc>
      </w:tr>
      <w:tr>
        <w:trPr>
          <w:trHeight w:val="144"/>
        </w:trPr>
        <w:tc>
          <w:tcPr>
            <w:tcW w:w="468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jc w:val="center"/>
              <w:ind w:right="380"/>
              <w:spacing w:after="0" w:line="145" w:lineRule="exact"/>
              <w:rPr>
                <w:sz w:val="20"/>
                <w:szCs w:val="20"/>
                <w:color w:val="auto"/>
              </w:rPr>
            </w:pPr>
            <w:r>
              <w:rPr>
                <w:rFonts w:ascii="Times New Roman" w:cs="Times New Roman" w:eastAsia="Times New Roman" w:hAnsi="Times New Roman"/>
                <w:sz w:val="14"/>
                <w:szCs w:val="14"/>
                <w:color w:val="auto"/>
              </w:rPr>
              <w:t>Grant Date</w:t>
            </w:r>
          </w:p>
        </w:tc>
        <w:tc>
          <w:tcPr>
            <w:tcW w:w="1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jc w:val="center"/>
              <w:ind w:right="194"/>
              <w:spacing w:after="0" w:line="145" w:lineRule="exact"/>
              <w:rPr>
                <w:sz w:val="20"/>
                <w:szCs w:val="20"/>
                <w:color w:val="auto"/>
              </w:rPr>
            </w:pPr>
            <w:r>
              <w:rPr>
                <w:rFonts w:ascii="Times New Roman" w:cs="Times New Roman" w:eastAsia="Times New Roman" w:hAnsi="Times New Roman"/>
                <w:sz w:val="14"/>
                <w:szCs w:val="14"/>
                <w:color w:val="auto"/>
              </w:rPr>
              <w:t>Grant Date</w:t>
            </w:r>
          </w:p>
        </w:tc>
        <w:tc>
          <w:tcPr>
            <w:tcW w:w="0" w:type="dxa"/>
            <w:vAlign w:val="bottom"/>
          </w:tcPr>
          <w:p>
            <w:pPr>
              <w:spacing w:after="0"/>
              <w:rPr>
                <w:sz w:val="1"/>
                <w:szCs w:val="1"/>
                <w:color w:val="auto"/>
              </w:rPr>
            </w:pPr>
          </w:p>
        </w:tc>
      </w:tr>
      <w:tr>
        <w:trPr>
          <w:trHeight w:val="198"/>
        </w:trPr>
        <w:tc>
          <w:tcPr>
            <w:tcW w:w="4680" w:type="dxa"/>
            <w:vAlign w:val="bottom"/>
          </w:tcPr>
          <w:p>
            <w:pPr>
              <w:spacing w:after="0"/>
              <w:rPr>
                <w:sz w:val="17"/>
                <w:szCs w:val="17"/>
                <w:color w:val="auto"/>
              </w:rPr>
            </w:pPr>
          </w:p>
        </w:tc>
        <w:tc>
          <w:tcPr>
            <w:tcW w:w="1560" w:type="dxa"/>
            <w:vAlign w:val="bottom"/>
          </w:tcPr>
          <w:p>
            <w:pPr>
              <w:jc w:val="right"/>
              <w:ind w:right="472"/>
              <w:spacing w:after="0"/>
              <w:rPr>
                <w:sz w:val="20"/>
                <w:szCs w:val="20"/>
                <w:color w:val="auto"/>
              </w:rPr>
            </w:pPr>
            <w:r>
              <w:rPr>
                <w:rFonts w:ascii="Times New Roman" w:cs="Times New Roman" w:eastAsia="Times New Roman" w:hAnsi="Times New Roman"/>
                <w:sz w:val="14"/>
                <w:szCs w:val="14"/>
                <w:color w:val="auto"/>
              </w:rPr>
              <w:t>Awards</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Fair Value</w:t>
            </w:r>
          </w:p>
        </w:tc>
        <w:tc>
          <w:tcPr>
            <w:tcW w:w="1560" w:type="dxa"/>
            <w:vAlign w:val="bottom"/>
          </w:tcPr>
          <w:p>
            <w:pPr>
              <w:jc w:val="right"/>
              <w:ind w:right="472"/>
              <w:spacing w:after="0"/>
              <w:rPr>
                <w:sz w:val="20"/>
                <w:szCs w:val="20"/>
                <w:color w:val="auto"/>
              </w:rPr>
            </w:pPr>
            <w:r>
              <w:rPr>
                <w:rFonts w:ascii="Times New Roman" w:cs="Times New Roman" w:eastAsia="Times New Roman" w:hAnsi="Times New Roman"/>
                <w:sz w:val="14"/>
                <w:szCs w:val="14"/>
                <w:color w:val="auto"/>
              </w:rPr>
              <w:t>Awards</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center"/>
              <w:ind w:right="194"/>
              <w:spacing w:after="0"/>
              <w:rPr>
                <w:sz w:val="20"/>
                <w:szCs w:val="20"/>
                <w:color w:val="auto"/>
              </w:rPr>
            </w:pPr>
            <w:r>
              <w:rPr>
                <w:rFonts w:ascii="Times New Roman" w:cs="Times New Roman" w:eastAsia="Times New Roman" w:hAnsi="Times New Roman"/>
                <w:sz w:val="14"/>
                <w:szCs w:val="14"/>
                <w:color w:val="auto"/>
              </w:rPr>
              <w:t>Fair Value</w:t>
            </w:r>
          </w:p>
        </w:tc>
        <w:tc>
          <w:tcPr>
            <w:tcW w:w="0" w:type="dxa"/>
            <w:vAlign w:val="bottom"/>
          </w:tcPr>
          <w:p>
            <w:pPr>
              <w:spacing w:after="0"/>
              <w:rPr>
                <w:sz w:val="1"/>
                <w:szCs w:val="1"/>
                <w:color w:val="auto"/>
              </w:rPr>
            </w:pPr>
          </w:p>
        </w:tc>
      </w:tr>
      <w:tr>
        <w:trPr>
          <w:trHeight w:val="228"/>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January 1, 2022</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1,208,000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764,415</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35.69</w:t>
            </w:r>
          </w:p>
        </w:tc>
        <w:tc>
          <w:tcPr>
            <w:tcW w:w="0" w:type="dxa"/>
            <w:vAlign w:val="bottom"/>
          </w:tcPr>
          <w:p>
            <w:pPr>
              <w:spacing w:after="0"/>
              <w:rPr>
                <w:sz w:val="1"/>
                <w:szCs w:val="1"/>
                <w:color w:val="auto"/>
              </w:rPr>
            </w:pPr>
          </w:p>
        </w:tc>
      </w:tr>
      <w:tr>
        <w:trPr>
          <w:trHeight w:val="230"/>
        </w:trPr>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980,456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437,253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(452,448)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w:t>
            </w:r>
          </w:p>
        </w:tc>
        <w:tc>
          <w:tcPr>
            <w:tcW w:w="0" w:type="dxa"/>
            <w:vAlign w:val="bottom"/>
          </w:tcPr>
          <w:p>
            <w:pPr>
              <w:spacing w:after="0"/>
              <w:rPr>
                <w:sz w:val="1"/>
                <w:szCs w:val="1"/>
                <w:color w:val="auto"/>
              </w:rPr>
            </w:pPr>
          </w:p>
        </w:tc>
      </w:tr>
      <w:tr>
        <w:trPr>
          <w:trHeight w:val="229"/>
        </w:trPr>
        <w:tc>
          <w:tcPr>
            <w:tcW w:w="4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(219,530)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(83,724)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27.31</w:t>
            </w:r>
          </w:p>
        </w:tc>
        <w:tc>
          <w:tcPr>
            <w:tcW w:w="0" w:type="dxa"/>
            <w:vAlign w:val="bottom"/>
          </w:tcPr>
          <w:p>
            <w:pPr>
              <w:spacing w:after="0"/>
              <w:rPr>
                <w:sz w:val="1"/>
                <w:szCs w:val="1"/>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2022</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1,516,478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774,654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0" w:type="dxa"/>
            <w:vAlign w:val="bottom"/>
          </w:tcPr>
          <w:p>
            <w:pPr>
              <w:spacing w:after="0"/>
              <w:rPr>
                <w:sz w:val="1"/>
                <w:szCs w:val="1"/>
                <w:color w:val="auto"/>
              </w:rPr>
            </w:pPr>
          </w:p>
        </w:tc>
      </w:tr>
      <w:tr>
        <w:trPr>
          <w:trHeight w:val="229"/>
        </w:trPr>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1,678,585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686,294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(760,333)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w:t>
            </w:r>
          </w:p>
        </w:tc>
        <w:tc>
          <w:tcPr>
            <w:tcW w:w="0" w:type="dxa"/>
            <w:vAlign w:val="bottom"/>
          </w:tcPr>
          <w:p>
            <w:pPr>
              <w:spacing w:after="0"/>
              <w:rPr>
                <w:sz w:val="1"/>
                <w:szCs w:val="1"/>
                <w:color w:val="auto"/>
              </w:rPr>
            </w:pPr>
          </w:p>
        </w:tc>
      </w:tr>
      <w:tr>
        <w:trPr>
          <w:trHeight w:val="229"/>
        </w:trPr>
        <w:tc>
          <w:tcPr>
            <w:tcW w:w="4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(494,426)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(134,237)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0" w:type="dxa"/>
            <w:vAlign w:val="bottom"/>
          </w:tcPr>
          <w:p>
            <w:pPr>
              <w:spacing w:after="0"/>
              <w:rPr>
                <w:sz w:val="1"/>
                <w:szCs w:val="1"/>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30, 2023</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1,940,304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1,140,304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0" w:type="dxa"/>
            <w:vAlign w:val="bottom"/>
          </w:tcPr>
          <w:p>
            <w:pPr>
              <w:spacing w:after="0"/>
              <w:rPr>
                <w:sz w:val="1"/>
                <w:szCs w:val="1"/>
                <w:color w:val="auto"/>
              </w:rPr>
            </w:pPr>
          </w:p>
        </w:tc>
      </w:tr>
      <w:tr>
        <w:trPr>
          <w:trHeight w:val="229"/>
        </w:trPr>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1,961,114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1,293,404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(781,487)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(57,529)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0" w:type="dxa"/>
            <w:vAlign w:val="bottom"/>
          </w:tcPr>
          <w:p>
            <w:pPr>
              <w:spacing w:after="0"/>
              <w:rPr>
                <w:sz w:val="1"/>
                <w:szCs w:val="1"/>
                <w:color w:val="auto"/>
              </w:rPr>
            </w:pPr>
          </w:p>
        </w:tc>
      </w:tr>
      <w:tr>
        <w:trPr>
          <w:trHeight w:val="230"/>
        </w:trPr>
        <w:tc>
          <w:tcPr>
            <w:tcW w:w="4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(351,036)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(263,893)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0" w:type="dxa"/>
            <w:vAlign w:val="bottom"/>
          </w:tcPr>
          <w:p>
            <w:pPr>
              <w:spacing w:after="0"/>
              <w:rPr>
                <w:sz w:val="1"/>
                <w:szCs w:val="1"/>
                <w:color w:val="auto"/>
              </w:rPr>
            </w:pP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28, 2024</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2,768,895</w:t>
            </w:r>
          </w:p>
        </w:tc>
        <w:tc>
          <w:tcPr>
            <w:tcW w:w="3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2,112,286</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28, 2024, there was $17.0 million of unrecognized compensation expense related to unvested Restricted Awards, which is expected to be recognized over a weighted-average period of 1.2 years. The total fair value of Restricted Awards vested during the year ended December 28, 2024 was $8.5 million. As of December 30, 2023, there was $19.0 million of unrecognized compensation expense related to unvested Restricted Awards, which was expected to be recognized over a weighted-average period of 1.5 years. The total fair value of Restricted Awards vested during the year ended December 30, 2023 was $11.1 million. As of December 31, 2022, there was $19.4 million of unrecognized compensation expense related to unvested Restricted Awards, which was expected to be recognized over a weighted-average period of 1.6 years. The total fair value of Restricted Awards vested during the year ended December 31, 2022 was $10.9 million.</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28, 2024, there was $8.2 million of unrecognized compensation expense related to unvested Performance Awards, which is expected to be recognized over a weighted-average period of 1.7 years. The total fair value of Performance Awards vested during the year ended December 28, 2024 was $0.5 million. As of December 30, 2023, there was $5.0 million of unrecognized compensation expense related to unvested Performance Awards, which was expected to be recognized over a weighted-average period of 1.7 years. The total fair value of Performance Awards vested during the year ended December 30, 2023 was $5.7 million. As of December 31, 2022, there was $10.8 million of unrecognized compensation expense related to unvested Performance Awards, which was expected to be recognized over a weighted-average period of 1.6 years. The total fair value of Performance Awards vested during the year ended December 31, 2022 was $9.3 million.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estimated the fair value of employee stock options on the date of grant using the Black-Scholes-Merton formula. The estimated weighted-average fair value for each option granted was $8.46 per share for fiscal year 2022.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stock option transactions is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Weighted-Average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Average Remaining</w:t>
            </w:r>
          </w:p>
        </w:tc>
        <w:tc>
          <w:tcPr>
            <w:tcW w:w="140" w:type="dxa"/>
            <w:vAlign w:val="bottom"/>
          </w:tcPr>
          <w:p>
            <w:pPr>
              <w:spacing w:after="0"/>
              <w:rPr>
                <w:sz w:val="13"/>
                <w:szCs w:val="13"/>
                <w:color w:val="auto"/>
              </w:rPr>
            </w:pPr>
          </w:p>
        </w:tc>
        <w:tc>
          <w:tcPr>
            <w:tcW w:w="1300" w:type="dxa"/>
            <w:vAlign w:val="bottom"/>
            <w:gridSpan w:val="3"/>
          </w:tcPr>
          <w:p>
            <w:pPr>
              <w:jc w:val="center"/>
              <w:ind w:right="50"/>
              <w:spacing w:after="0"/>
              <w:rPr>
                <w:sz w:val="20"/>
                <w:szCs w:val="20"/>
                <w:color w:val="auto"/>
              </w:rPr>
            </w:pPr>
            <w:r>
              <w:rPr>
                <w:rFonts w:ascii="Times New Roman" w:cs="Times New Roman" w:eastAsia="Times New Roman" w:hAnsi="Times New Roman"/>
                <w:sz w:val="14"/>
                <w:szCs w:val="14"/>
                <w:color w:val="auto"/>
              </w:rPr>
              <w:t>Aggregate Intrinsic</w:t>
            </w:r>
          </w:p>
        </w:tc>
        <w:tc>
          <w:tcPr>
            <w:tcW w:w="0" w:type="dxa"/>
            <w:vAlign w:val="bottom"/>
          </w:tcPr>
          <w:p>
            <w:pPr>
              <w:spacing w:after="0"/>
              <w:rPr>
                <w:sz w:val="1"/>
                <w:szCs w:val="1"/>
                <w:color w:val="auto"/>
              </w:rPr>
            </w:pPr>
          </w:p>
        </w:tc>
      </w:tr>
      <w:tr>
        <w:trPr>
          <w:trHeight w:val="146"/>
        </w:trPr>
        <w:tc>
          <w:tcPr>
            <w:tcW w:w="5160" w:type="dxa"/>
            <w:vAlign w:val="bottom"/>
          </w:tcPr>
          <w:p>
            <w:pPr>
              <w:spacing w:after="0"/>
              <w:rPr>
                <w:sz w:val="12"/>
                <w:szCs w:val="12"/>
                <w:color w:val="auto"/>
              </w:rPr>
            </w:pPr>
          </w:p>
        </w:tc>
        <w:tc>
          <w:tcPr>
            <w:tcW w:w="144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color w:val="auto"/>
              </w:rPr>
              <w:t>Shares Under Option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54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color w:val="auto"/>
              </w:rPr>
              <w:t>Contractual Term</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270"/>
              <w:spacing w:after="0" w:line="147" w:lineRule="exact"/>
              <w:rPr>
                <w:sz w:val="20"/>
                <w:szCs w:val="20"/>
                <w:color w:val="auto"/>
              </w:rPr>
            </w:pPr>
            <w:r>
              <w:rPr>
                <w:rFonts w:ascii="Times New Roman" w:cs="Times New Roman" w:eastAsia="Times New Roman" w:hAnsi="Times New Roman"/>
                <w:sz w:val="14"/>
                <w:szCs w:val="14"/>
                <w:color w:val="auto"/>
                <w:w w:val="95"/>
              </w:rPr>
              <w:t>Value</w:t>
            </w:r>
          </w:p>
        </w:tc>
        <w:tc>
          <w:tcPr>
            <w:tcW w:w="0" w:type="dxa"/>
            <w:vAlign w:val="bottom"/>
          </w:tcPr>
          <w:p>
            <w:pPr>
              <w:spacing w:after="0"/>
              <w:rPr>
                <w:sz w:val="1"/>
                <w:szCs w:val="1"/>
                <w:color w:val="auto"/>
              </w:rPr>
            </w:pPr>
          </w:p>
        </w:tc>
      </w:tr>
      <w:tr>
        <w:trPr>
          <w:trHeight w:val="160"/>
        </w:trPr>
        <w:tc>
          <w:tcPr>
            <w:tcW w:w="516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color w:val="auto"/>
              </w:rPr>
              <w:t>Exercise Price</w:t>
            </w:r>
          </w:p>
        </w:tc>
        <w:tc>
          <w:tcPr>
            <w:tcW w:w="154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i w:val="1"/>
                <w:iCs w:val="1"/>
                <w:color w:val="auto"/>
                <w:w w:val="96"/>
              </w:rPr>
              <w:t>(Years)</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center"/>
              <w:ind w:right="270"/>
              <w:spacing w:after="0" w:line="160" w:lineRule="exact"/>
              <w:rPr>
                <w:sz w:val="20"/>
                <w:szCs w:val="20"/>
                <w:color w:val="auto"/>
              </w:rPr>
            </w:pPr>
            <w:r>
              <w:rPr>
                <w:rFonts w:ascii="Times New Roman" w:cs="Times New Roman" w:eastAsia="Times New Roman" w:hAnsi="Times New Roman"/>
                <w:sz w:val="14"/>
                <w:szCs w:val="14"/>
                <w:color w:val="auto"/>
              </w:rPr>
              <w:t>(In millions)</w:t>
            </w:r>
          </w:p>
        </w:tc>
        <w:tc>
          <w:tcPr>
            <w:tcW w:w="0" w:type="dxa"/>
            <w:vAlign w:val="bottom"/>
          </w:tcPr>
          <w:p>
            <w:pPr>
              <w:spacing w:after="0"/>
              <w:rPr>
                <w:sz w:val="1"/>
                <w:szCs w:val="1"/>
                <w:color w:val="auto"/>
              </w:rPr>
            </w:pPr>
          </w:p>
        </w:tc>
      </w:tr>
      <w:tr>
        <w:trPr>
          <w:trHeight w:val="21"/>
        </w:trPr>
        <w:tc>
          <w:tcPr>
            <w:tcW w:w="51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2,488,812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29"/>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Canceled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(101,091)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2,333,410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Exercised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Canceled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(366,352)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December 30, 2023</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1,961,016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Canceled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(442,532)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28, 2024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1,330,529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Unvested at December 28, 2024</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December 28, 2024</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1,329,402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total pretax intrinsic value of stock options exercised during fiscal years 2024, 2023 and 2022 was $0.9 million, $0.0 million and $0.4 million, respectively. There was no unrecognized compensation expense related to stock option grants as of December 28, 2024 and as of December 30, 2023. As of December 31, 2022, there was $0.1 million of unrecognized compensation expense related to stock option awards expected to be recognized over a weighted-average period of 0.9 years.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aggregate intrinsic value in the preceding table represents the total pretax intrinsic value, based on the Company’s closing stock price as of each fiscal year end, which would have been received by the option holders had all option holders exercised options, where the market price of the Company's stock was above the strike price ("in-the-money"), as of that date. As of December 28, 2024, 750,351 outstanding options were exercisable and in-the-money. There were no in-the-money options exercisable as of December 30, 2023. The Company’s closing stock price was $22.48 per share as of December 28, 2024 and $8.89 per share as of December 30,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RETIREMENT PLANS</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has two non-contributory, defined benefit pension plans that provide retirement benefits to less than half of its domestic employees. The Company’s principal defined benefit pension plan, which is closed to new participants, provides benefits based on the employee’s years of service and final average earnings. The second plan is closed to new participants and no longer accrue future benefits.</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a Supplemental Executive Retirement Plan (the “SERP”) for certain current and former employees that entitles a participating employee to receive payments from the Company following retirement based on the employee’s years of service and final average earnings (as defined in the SERP). Under the SERP, the employees can elect early retirement with a corresponding reduction in benefits. The Company also has individual deferred compensation agreements with certain former employees that entitle those employees to receive payments from the Company following retirement, generally for the duration of their lives. The Company maintains life insurance policies with a cash surrender value of $42.3 million at December 28, 2024 and $48.3 million at December 30, 2023 recognized as other assets on the consolidated balance sheets that are intended to partially fund deferred compensation benefits under the SERP and deferred compensation agreements.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two defined contribution 401(k) plans covering substantially all domestic employees that provide for discretionary Company contributions based on the amount of participant deferrals. The Company recognized expense for its contributions to the defined contribution plans of $4.0 million, $4.9 million and $5.6 million in fiscal years 2024, 2023 and 2022, respectively.</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also has certain defined contribution plans at foreign subsidiaries. Contributions to these plans were $1.4 million, $1.6 million and $1.5 million in fiscal years 2024, 2023 and 2022, respectively. The Company also has a benefit plan at a</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8" w:name="page59"/>
    <w:bookmarkEnd w:id="58"/>
    <w:p>
      <w:pPr>
        <w:jc w:val="both"/>
        <w:spacing w:after="0" w:line="282" w:lineRule="auto"/>
        <w:rPr>
          <w:sz w:val="20"/>
          <w:szCs w:val="20"/>
          <w:color w:val="auto"/>
        </w:rPr>
      </w:pPr>
      <w:r>
        <w:rPr>
          <w:rFonts w:ascii="Times New Roman" w:cs="Times New Roman" w:eastAsia="Times New Roman" w:hAnsi="Times New Roman"/>
          <w:sz w:val="18"/>
          <w:szCs w:val="18"/>
          <w:color w:val="auto"/>
        </w:rPr>
        <w:t>foreign location that provides for retirement benefits based on years of service. The obligation recorded under this plan was $0.1 million at December 28, 2024 and $0.6 million at December 30, 2023 and was recognized as a deferred compensation liability on the consolidated balance sheets.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summarizes the status of and changes in the Company’s assets and related obligations for its pension plans (which include the Company’s defined benefit pension plans and the SERP) for the fiscal years 2024 and 2023:</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color w:val="auto"/>
              </w:rPr>
              <w:t>Fiscal Year</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jc w:val="right"/>
              <w:ind w:right="532"/>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jc w:val="right"/>
              <w:ind w:right="531"/>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7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projected benefit obligations: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Projected benefit obligations at beginning of the year</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Service cost pertaining to benefits earned during the year</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Interest cost on projected benefit obligations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Actuarial loss (gain)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Benefits paid to plan participants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Curtailment</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06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Settlement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Projected benefit obligations at end of the year</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Change in fair value of pension assets: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80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Fair value of pension assets at beginning of the year</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Company contributions - SERP</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Benefits paid to plan participants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Settlement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80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Fair value of pension assets at end of the year</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Funded status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Amounts recognized in the consolidated balance sheets: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0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06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Accrued pension liabilities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Funded status of qualified defined benefit plans and SERP</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7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Unrecognized net actuarial loss recognized in accumulated other comprehensive income was $7.6 million and $10.7 million, and amounts net of tax were $6.3 million and $8.7 million, as of December 28, 2024 and December 30, 2023, respectively. The accumulated benefit obligations for all defined benefit pension plans and the SERP were $294.0 million at December 28, 2024 and $334.7 million at December 30, 2023. The decrease in benefit obligation for fiscal 2024 was the result of benefits paid to plan participants and actuarial gains caused by changes to the discount rate. The actuarial loss included in accumulated other comprehensive loss and expected to be recognized in net periodic pension income during fiscal 2025 is $1.7 million.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net pension and SERP expense recognized by the Company:</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Fiscal Year</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jc w:val="right"/>
              <w:ind w:right="532"/>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tcPr>
          <w:p>
            <w:pPr>
              <w:jc w:val="right"/>
              <w:ind w:right="533"/>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jc w:val="right"/>
              <w:ind w:right="532"/>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5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 pertaining to benefits earned during the year</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cost on projected benefit obligations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pension 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amortization loss (gain)</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Curtailment</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Settlement</w:t>
            </w:r>
          </w:p>
        </w:tc>
        <w:tc>
          <w:tcPr>
            <w:tcW w:w="36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63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pension expense</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3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SERP expense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Qualified defined benefit pension plans expense (income)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5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non-service cost components of net pension expense is recorded in the Other expense (income), net line item on the consolidated statements of operations and comprehensive income.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9" w:name="page60"/>
    <w:bookmarkEnd w:id="59"/>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weighted-average actuarial assumptions used to determine the benefit obligation amounts and the net periodic benefit cost for the Company’s pension and post-retirement plans are as follows: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4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Fiscal Year</w:t>
            </w:r>
          </w:p>
        </w:tc>
      </w:tr>
      <w:tr>
        <w:trPr>
          <w:trHeight w:val="23"/>
        </w:trPr>
        <w:tc>
          <w:tcPr>
            <w:tcW w:w="80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r>
      <w:tr>
        <w:trPr>
          <w:trHeight w:val="190"/>
        </w:trPr>
        <w:tc>
          <w:tcPr>
            <w:tcW w:w="8040" w:type="dxa"/>
            <w:vAlign w:val="bottom"/>
          </w:tcPr>
          <w:p>
            <w:pPr>
              <w:spacing w:after="0"/>
              <w:rPr>
                <w:sz w:val="16"/>
                <w:szCs w:val="16"/>
                <w:color w:val="auto"/>
              </w:rPr>
            </w:pPr>
          </w:p>
        </w:tc>
        <w:tc>
          <w:tcPr>
            <w:tcW w:w="1120" w:type="dxa"/>
            <w:vAlign w:val="bottom"/>
          </w:tcPr>
          <w:p>
            <w:pPr>
              <w:jc w:val="center"/>
              <w:ind w:left="312"/>
              <w:spacing w:after="0"/>
              <w:rPr>
                <w:sz w:val="20"/>
                <w:szCs w:val="20"/>
                <w:color w:val="auto"/>
              </w:rPr>
            </w:pPr>
            <w:r>
              <w:rPr>
                <w:rFonts w:ascii="Times New Roman" w:cs="Times New Roman" w:eastAsia="Times New Roman" w:hAnsi="Times New Roman"/>
                <w:sz w:val="14"/>
                <w:szCs w:val="14"/>
                <w:color w:val="auto"/>
                <w:w w:val="99"/>
              </w:rPr>
              <w:t>2024</w:t>
            </w:r>
          </w:p>
        </w:tc>
        <w:tc>
          <w:tcPr>
            <w:tcW w:w="2040" w:type="dxa"/>
            <w:vAlign w:val="bottom"/>
            <w:gridSpan w:val="3"/>
          </w:tcPr>
          <w:p>
            <w:pPr>
              <w:jc w:val="center"/>
              <w:ind w:left="434"/>
              <w:spacing w:after="0"/>
              <w:rPr>
                <w:sz w:val="20"/>
                <w:szCs w:val="20"/>
                <w:color w:val="auto"/>
              </w:rPr>
            </w:pPr>
            <w:r>
              <w:rPr>
                <w:rFonts w:ascii="Times New Roman" w:cs="Times New Roman" w:eastAsia="Times New Roman" w:hAnsi="Times New Roman"/>
                <w:sz w:val="14"/>
                <w:szCs w:val="14"/>
                <w:color w:val="auto"/>
                <w:w w:val="99"/>
              </w:rPr>
              <w:t>2023</w:t>
            </w:r>
          </w:p>
        </w:tc>
      </w:tr>
      <w:tr>
        <w:trPr>
          <w:trHeight w:val="216"/>
        </w:trPr>
        <w:tc>
          <w:tcPr>
            <w:tcW w:w="8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assumptions used to determine benefit obligations at fiscal year-end:</w:t>
            </w:r>
          </w:p>
        </w:tc>
        <w:tc>
          <w:tcPr>
            <w:tcW w:w="11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r>
      <w:tr>
        <w:trPr>
          <w:trHeight w:val="229"/>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Discount rate</w:t>
            </w:r>
          </w:p>
        </w:tc>
        <w:tc>
          <w:tcPr>
            <w:tcW w:w="1120" w:type="dxa"/>
            <w:vAlign w:val="bottom"/>
          </w:tcPr>
          <w:p>
            <w:pPr>
              <w:jc w:val="center"/>
              <w:ind w:left="332"/>
              <w:spacing w:after="0"/>
              <w:rPr>
                <w:sz w:val="20"/>
                <w:szCs w:val="20"/>
                <w:color w:val="auto"/>
              </w:rPr>
            </w:pPr>
            <w:r>
              <w:rPr>
                <w:rFonts w:ascii="Times New Roman" w:cs="Times New Roman" w:eastAsia="Times New Roman" w:hAnsi="Times New Roman"/>
                <w:sz w:val="18"/>
                <w:szCs w:val="18"/>
                <w:color w:val="auto"/>
                <w:w w:val="98"/>
              </w:rPr>
              <w:t>5.75%</w:t>
            </w:r>
          </w:p>
        </w:tc>
        <w:tc>
          <w:tcPr>
            <w:tcW w:w="2040" w:type="dxa"/>
            <w:vAlign w:val="bottom"/>
            <w:gridSpan w:val="3"/>
          </w:tcPr>
          <w:p>
            <w:pPr>
              <w:jc w:val="center"/>
              <w:ind w:left="414"/>
              <w:spacing w:after="0"/>
              <w:rPr>
                <w:sz w:val="20"/>
                <w:szCs w:val="20"/>
                <w:color w:val="auto"/>
              </w:rPr>
            </w:pPr>
            <w:r>
              <w:rPr>
                <w:rFonts w:ascii="Times New Roman" w:cs="Times New Roman" w:eastAsia="Times New Roman" w:hAnsi="Times New Roman"/>
                <w:sz w:val="18"/>
                <w:szCs w:val="18"/>
                <w:color w:val="auto"/>
                <w:w w:val="98"/>
              </w:rPr>
              <w:t>5.30%</w:t>
            </w: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Rate of compensation increase - pension</w:t>
            </w:r>
          </w:p>
        </w:tc>
        <w:tc>
          <w:tcPr>
            <w:tcW w:w="1120" w:type="dxa"/>
            <w:vAlign w:val="bottom"/>
            <w:shd w:val="clear" w:color="auto" w:fill="CCEEFF"/>
          </w:tcPr>
          <w:p>
            <w:pPr>
              <w:jc w:val="center"/>
              <w:ind w:left="332"/>
              <w:spacing w:after="0"/>
              <w:rPr>
                <w:sz w:val="20"/>
                <w:szCs w:val="20"/>
                <w:color w:val="auto"/>
              </w:rPr>
            </w:pPr>
            <w:r>
              <w:rPr>
                <w:rFonts w:ascii="Times New Roman" w:cs="Times New Roman" w:eastAsia="Times New Roman" w:hAnsi="Times New Roman"/>
                <w:sz w:val="18"/>
                <w:szCs w:val="18"/>
                <w:color w:val="auto"/>
                <w:w w:val="98"/>
              </w:rPr>
              <w:t>4.31%</w:t>
            </w:r>
          </w:p>
        </w:tc>
        <w:tc>
          <w:tcPr>
            <w:tcW w:w="2040" w:type="dxa"/>
            <w:vAlign w:val="bottom"/>
            <w:gridSpan w:val="3"/>
            <w:shd w:val="clear" w:color="auto" w:fill="CCEEFF"/>
          </w:tcPr>
          <w:p>
            <w:pPr>
              <w:jc w:val="center"/>
              <w:ind w:left="414"/>
              <w:spacing w:after="0"/>
              <w:rPr>
                <w:sz w:val="20"/>
                <w:szCs w:val="20"/>
                <w:color w:val="auto"/>
              </w:rPr>
            </w:pPr>
            <w:r>
              <w:rPr>
                <w:rFonts w:ascii="Times New Roman" w:cs="Times New Roman" w:eastAsia="Times New Roman" w:hAnsi="Times New Roman"/>
                <w:sz w:val="18"/>
                <w:szCs w:val="18"/>
                <w:color w:val="auto"/>
                <w:w w:val="98"/>
              </w:rPr>
              <w:t>4.09%</w:t>
            </w:r>
          </w:p>
        </w:tc>
      </w:tr>
      <w:tr>
        <w:trPr>
          <w:trHeight w:val="229"/>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Rate of compensation increase - SERP</w:t>
            </w:r>
          </w:p>
        </w:tc>
        <w:tc>
          <w:tcPr>
            <w:tcW w:w="1120" w:type="dxa"/>
            <w:vAlign w:val="bottom"/>
          </w:tcPr>
          <w:p>
            <w:pPr>
              <w:jc w:val="center"/>
              <w:ind w:left="332"/>
              <w:spacing w:after="0"/>
              <w:rPr>
                <w:sz w:val="20"/>
                <w:szCs w:val="20"/>
                <w:color w:val="auto"/>
              </w:rPr>
            </w:pPr>
            <w:r>
              <w:rPr>
                <w:rFonts w:ascii="Times New Roman" w:cs="Times New Roman" w:eastAsia="Times New Roman" w:hAnsi="Times New Roman"/>
                <w:sz w:val="18"/>
                <w:szCs w:val="18"/>
                <w:color w:val="auto"/>
                <w:w w:val="98"/>
              </w:rPr>
              <w:t>7.00%</w:t>
            </w:r>
          </w:p>
        </w:tc>
        <w:tc>
          <w:tcPr>
            <w:tcW w:w="2040" w:type="dxa"/>
            <w:vAlign w:val="bottom"/>
            <w:gridSpan w:val="3"/>
          </w:tcPr>
          <w:p>
            <w:pPr>
              <w:jc w:val="center"/>
              <w:ind w:left="414"/>
              <w:spacing w:after="0"/>
              <w:rPr>
                <w:sz w:val="20"/>
                <w:szCs w:val="20"/>
                <w:color w:val="auto"/>
              </w:rPr>
            </w:pPr>
            <w:r>
              <w:rPr>
                <w:rFonts w:ascii="Times New Roman" w:cs="Times New Roman" w:eastAsia="Times New Roman" w:hAnsi="Times New Roman"/>
                <w:sz w:val="18"/>
                <w:szCs w:val="18"/>
                <w:color w:val="auto"/>
                <w:w w:val="98"/>
              </w:rPr>
              <w:t>7.00%</w:t>
            </w: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assumptions used to determine net periodic benefit cost for the years ended:</w:t>
            </w: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Discount rate</w:t>
            </w:r>
          </w:p>
        </w:tc>
        <w:tc>
          <w:tcPr>
            <w:tcW w:w="1120" w:type="dxa"/>
            <w:vAlign w:val="bottom"/>
          </w:tcPr>
          <w:p>
            <w:pPr>
              <w:jc w:val="center"/>
              <w:ind w:left="332"/>
              <w:spacing w:after="0"/>
              <w:rPr>
                <w:sz w:val="20"/>
                <w:szCs w:val="20"/>
                <w:color w:val="auto"/>
              </w:rPr>
            </w:pPr>
            <w:r>
              <w:rPr>
                <w:rFonts w:ascii="Times New Roman" w:cs="Times New Roman" w:eastAsia="Times New Roman" w:hAnsi="Times New Roman"/>
                <w:sz w:val="18"/>
                <w:szCs w:val="18"/>
                <w:color w:val="auto"/>
                <w:w w:val="98"/>
              </w:rPr>
              <w:t>5.30%</w:t>
            </w:r>
          </w:p>
        </w:tc>
        <w:tc>
          <w:tcPr>
            <w:tcW w:w="2040" w:type="dxa"/>
            <w:vAlign w:val="bottom"/>
            <w:gridSpan w:val="3"/>
          </w:tcPr>
          <w:p>
            <w:pPr>
              <w:jc w:val="center"/>
              <w:ind w:left="414"/>
              <w:spacing w:after="0"/>
              <w:rPr>
                <w:sz w:val="20"/>
                <w:szCs w:val="20"/>
                <w:color w:val="auto"/>
              </w:rPr>
            </w:pPr>
            <w:r>
              <w:rPr>
                <w:rFonts w:ascii="Times New Roman" w:cs="Times New Roman" w:eastAsia="Times New Roman" w:hAnsi="Times New Roman"/>
                <w:sz w:val="18"/>
                <w:szCs w:val="18"/>
                <w:color w:val="auto"/>
                <w:w w:val="98"/>
              </w:rPr>
              <w:t>5.56%</w:t>
            </w: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Expected long-term rate of return on plan assets</w:t>
            </w:r>
          </w:p>
        </w:tc>
        <w:tc>
          <w:tcPr>
            <w:tcW w:w="1120" w:type="dxa"/>
            <w:vAlign w:val="bottom"/>
            <w:shd w:val="clear" w:color="auto" w:fill="CCEEFF"/>
          </w:tcPr>
          <w:p>
            <w:pPr>
              <w:jc w:val="center"/>
              <w:ind w:left="332"/>
              <w:spacing w:after="0"/>
              <w:rPr>
                <w:sz w:val="20"/>
                <w:szCs w:val="20"/>
                <w:color w:val="auto"/>
              </w:rPr>
            </w:pPr>
            <w:r>
              <w:rPr>
                <w:rFonts w:ascii="Times New Roman" w:cs="Times New Roman" w:eastAsia="Times New Roman" w:hAnsi="Times New Roman"/>
                <w:sz w:val="18"/>
                <w:szCs w:val="18"/>
                <w:color w:val="auto"/>
                <w:w w:val="98"/>
              </w:rPr>
              <w:t>6.96%</w:t>
            </w:r>
          </w:p>
        </w:tc>
        <w:tc>
          <w:tcPr>
            <w:tcW w:w="2040" w:type="dxa"/>
            <w:vAlign w:val="bottom"/>
            <w:gridSpan w:val="3"/>
            <w:shd w:val="clear" w:color="auto" w:fill="CCEEFF"/>
          </w:tcPr>
          <w:p>
            <w:pPr>
              <w:jc w:val="center"/>
              <w:ind w:left="414"/>
              <w:spacing w:after="0"/>
              <w:rPr>
                <w:sz w:val="20"/>
                <w:szCs w:val="20"/>
                <w:color w:val="auto"/>
              </w:rPr>
            </w:pPr>
            <w:r>
              <w:rPr>
                <w:rFonts w:ascii="Times New Roman" w:cs="Times New Roman" w:eastAsia="Times New Roman" w:hAnsi="Times New Roman"/>
                <w:sz w:val="18"/>
                <w:szCs w:val="18"/>
                <w:color w:val="auto"/>
                <w:w w:val="98"/>
              </w:rPr>
              <w:t>6.88%</w:t>
            </w:r>
          </w:p>
        </w:tc>
      </w:tr>
      <w:tr>
        <w:trPr>
          <w:trHeight w:val="229"/>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Rate of compensation increase - pension</w:t>
            </w:r>
          </w:p>
        </w:tc>
        <w:tc>
          <w:tcPr>
            <w:tcW w:w="1120" w:type="dxa"/>
            <w:vAlign w:val="bottom"/>
          </w:tcPr>
          <w:p>
            <w:pPr>
              <w:jc w:val="center"/>
              <w:ind w:left="332"/>
              <w:spacing w:after="0"/>
              <w:rPr>
                <w:sz w:val="20"/>
                <w:szCs w:val="20"/>
                <w:color w:val="auto"/>
              </w:rPr>
            </w:pPr>
            <w:r>
              <w:rPr>
                <w:rFonts w:ascii="Times New Roman" w:cs="Times New Roman" w:eastAsia="Times New Roman" w:hAnsi="Times New Roman"/>
                <w:sz w:val="18"/>
                <w:szCs w:val="18"/>
                <w:color w:val="auto"/>
                <w:w w:val="98"/>
              </w:rPr>
              <w:t>4.09%</w:t>
            </w:r>
          </w:p>
        </w:tc>
        <w:tc>
          <w:tcPr>
            <w:tcW w:w="2040" w:type="dxa"/>
            <w:vAlign w:val="bottom"/>
            <w:gridSpan w:val="3"/>
          </w:tcPr>
          <w:p>
            <w:pPr>
              <w:jc w:val="center"/>
              <w:ind w:left="414"/>
              <w:spacing w:after="0"/>
              <w:rPr>
                <w:sz w:val="20"/>
                <w:szCs w:val="20"/>
                <w:color w:val="auto"/>
              </w:rPr>
            </w:pPr>
            <w:r>
              <w:rPr>
                <w:rFonts w:ascii="Times New Roman" w:cs="Times New Roman" w:eastAsia="Times New Roman" w:hAnsi="Times New Roman"/>
                <w:sz w:val="18"/>
                <w:szCs w:val="18"/>
                <w:color w:val="auto"/>
                <w:w w:val="98"/>
              </w:rPr>
              <w:t>4.13%</w:t>
            </w: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Rate of compensation increase - SERP</w:t>
            </w:r>
          </w:p>
        </w:tc>
        <w:tc>
          <w:tcPr>
            <w:tcW w:w="1120" w:type="dxa"/>
            <w:vAlign w:val="bottom"/>
            <w:shd w:val="clear" w:color="auto" w:fill="CCEEFF"/>
          </w:tcPr>
          <w:p>
            <w:pPr>
              <w:jc w:val="center"/>
              <w:ind w:left="332"/>
              <w:spacing w:after="0"/>
              <w:rPr>
                <w:sz w:val="20"/>
                <w:szCs w:val="20"/>
                <w:color w:val="auto"/>
              </w:rPr>
            </w:pPr>
            <w:r>
              <w:rPr>
                <w:rFonts w:ascii="Times New Roman" w:cs="Times New Roman" w:eastAsia="Times New Roman" w:hAnsi="Times New Roman"/>
                <w:sz w:val="18"/>
                <w:szCs w:val="18"/>
                <w:color w:val="auto"/>
                <w:w w:val="98"/>
              </w:rPr>
              <w:t>7.00%</w:t>
            </w:r>
          </w:p>
        </w:tc>
        <w:tc>
          <w:tcPr>
            <w:tcW w:w="2040" w:type="dxa"/>
            <w:vAlign w:val="bottom"/>
            <w:gridSpan w:val="3"/>
            <w:shd w:val="clear" w:color="auto" w:fill="CCEEFF"/>
          </w:tcPr>
          <w:p>
            <w:pPr>
              <w:jc w:val="center"/>
              <w:ind w:left="414"/>
              <w:spacing w:after="0"/>
              <w:rPr>
                <w:sz w:val="20"/>
                <w:szCs w:val="20"/>
                <w:color w:val="auto"/>
              </w:rPr>
            </w:pPr>
            <w:r>
              <w:rPr>
                <w:rFonts w:ascii="Times New Roman" w:cs="Times New Roman" w:eastAsia="Times New Roman" w:hAnsi="Times New Roman"/>
                <w:sz w:val="18"/>
                <w:szCs w:val="18"/>
                <w:color w:val="auto"/>
                <w:w w:val="98"/>
              </w:rPr>
              <w:t>7.00%</w:t>
            </w:r>
          </w:p>
        </w:tc>
      </w:tr>
    </w:tbl>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Unrecognized net actuarial losses exceeding certain corridors are amortized over one of two amortization periods, based on each plan's election. The amortization period is either a five-year period, unless the minimum amortization method based on average remaining service periods produces a higher amortization; or, over the average remaining life expectancy of participants expected to receive benefits. The Company utilizes a bond matching calculation to determine the discount rate. A hypothetical bond portfolio is created based on a presumed purchase of high-quality corporate bonds with maturities that match the plan’s expected future cash outflows. The discount rate is the resulting yield of the hypothetical bond portfolio. The discount rate is used in the calculation of the year-end pension liability and the service and interest cost for the subsequent year.</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long-term rate of return is based on overall market expectations for a balanced portfolio with an asset mix similar to the Company’s, utilizing historic returns for broad market and fixed income indices. The Company’s investment policy for plan assets uses a blended approach of U.S. and foreign equities combined with U.S. fixed income investments. The target investment allocations as of December 28, 2024 were 44% in equity securities and 56% in fixed income securities. Within the equity and fixed income classifications, the investments are diversified. The Company’s asset allocations by asset category and fair value measurement are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4"/>
          </w:tcPr>
          <w:p>
            <w:pPr>
              <w:ind w:left="540"/>
              <w:spacing w:after="0"/>
              <w:rPr>
                <w:sz w:val="20"/>
                <w:szCs w:val="20"/>
                <w:color w:val="auto"/>
              </w:rPr>
            </w:pPr>
            <w:r>
              <w:rPr>
                <w:rFonts w:ascii="Times New Roman" w:cs="Times New Roman" w:eastAsia="Times New Roman" w:hAnsi="Times New Roman"/>
                <w:sz w:val="14"/>
                <w:szCs w:val="14"/>
                <w:color w:val="auto"/>
              </w:rPr>
              <w:t>December 28, 2024</w:t>
            </w:r>
          </w:p>
        </w:tc>
        <w:tc>
          <w:tcPr>
            <w:tcW w:w="280" w:type="dxa"/>
            <w:vAlign w:val="bottom"/>
          </w:tcPr>
          <w:p>
            <w:pPr>
              <w:spacing w:after="0"/>
              <w:rPr>
                <w:sz w:val="16"/>
                <w:szCs w:val="16"/>
                <w:color w:val="auto"/>
              </w:rPr>
            </w:pPr>
          </w:p>
        </w:tc>
        <w:tc>
          <w:tcPr>
            <w:tcW w:w="2500" w:type="dxa"/>
            <w:vAlign w:val="bottom"/>
            <w:gridSpan w:val="3"/>
          </w:tcPr>
          <w:p>
            <w:pPr>
              <w:jc w:val="right"/>
              <w:ind w:right="733"/>
              <w:spacing w:after="0"/>
              <w:rPr>
                <w:sz w:val="20"/>
                <w:szCs w:val="20"/>
                <w:color w:val="auto"/>
              </w:rPr>
            </w:pPr>
            <w:r>
              <w:rPr>
                <w:rFonts w:ascii="Times New Roman" w:cs="Times New Roman" w:eastAsia="Times New Roman" w:hAnsi="Times New Roman"/>
                <w:sz w:val="14"/>
                <w:szCs w:val="14"/>
                <w:color w:val="auto"/>
              </w:rPr>
              <w:t>December 30, 2023</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80" w:type="dxa"/>
            <w:vAlign w:val="bottom"/>
            <w:gridSpan w:val="2"/>
            <w:vMerge w:val="continue"/>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color w:val="auto"/>
              </w:rPr>
              <w:t>% of Total</w:t>
            </w:r>
          </w:p>
        </w:tc>
        <w:tc>
          <w:tcPr>
            <w:tcW w:w="2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color w:val="auto"/>
              </w:rPr>
              <w:t>% of Total</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securities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80" w:type="dxa"/>
            <w:vAlign w:val="bottom"/>
            <w:shd w:val="clear" w:color="auto" w:fill="CCEEFF"/>
          </w:tcPr>
          <w:p>
            <w:pPr>
              <w:jc w:val="right"/>
              <w:ind w:right="42"/>
              <w:spacing w:after="0" w:line="130" w:lineRule="exact"/>
              <w:rPr>
                <w:sz w:val="20"/>
                <w:szCs w:val="20"/>
                <w:color w:val="auto"/>
              </w:rPr>
            </w:pPr>
            <w:r>
              <w:rPr>
                <w:rFonts w:ascii="Times New Roman" w:cs="Times New Roman" w:eastAsia="Times New Roman" w:hAnsi="Times New Roman"/>
                <w:sz w:val="12"/>
                <w:szCs w:val="12"/>
                <w:color w:val="auto"/>
                <w:w w:val="99"/>
              </w:rPr>
              <w:t>1</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46.0 %</w:t>
            </w: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80" w:type="dxa"/>
            <w:vAlign w:val="bottom"/>
            <w:shd w:val="clear" w:color="auto" w:fill="CCEEFF"/>
          </w:tcPr>
          <w:p>
            <w:pPr>
              <w:jc w:val="right"/>
              <w:ind w:right="42"/>
              <w:spacing w:after="0" w:line="130" w:lineRule="exact"/>
              <w:rPr>
                <w:sz w:val="20"/>
                <w:szCs w:val="20"/>
                <w:color w:val="auto"/>
              </w:rPr>
            </w:pPr>
            <w:r>
              <w:rPr>
                <w:rFonts w:ascii="Times New Roman" w:cs="Times New Roman" w:eastAsia="Times New Roman" w:hAnsi="Times New Roman"/>
                <w:sz w:val="12"/>
                <w:szCs w:val="12"/>
                <w:color w:val="auto"/>
                <w:w w:val="99"/>
              </w:rPr>
              <w:t>1</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Fixed income securities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1</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34.9 %</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1</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18.4 %</w:t>
            </w: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3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Borders>
              <w:bottom w:val="single" w:sz="8" w:color="CCEEFF"/>
            </w:tcBorders>
          </w:tcPr>
          <w:p>
            <w:pPr>
              <w:jc w:val="right"/>
              <w:ind w:right="42"/>
              <w:spacing w:after="0"/>
              <w:rPr>
                <w:sz w:val="20"/>
                <w:szCs w:val="20"/>
                <w:color w:val="auto"/>
              </w:rPr>
            </w:pPr>
            <w:r>
              <w:rPr>
                <w:rFonts w:ascii="Times New Roman" w:cs="Times New Roman" w:eastAsia="Times New Roman" w:hAnsi="Times New Roman"/>
                <w:sz w:val="12"/>
                <w:szCs w:val="12"/>
                <w:color w:val="auto"/>
                <w:w w:val="99"/>
              </w:rPr>
              <w:t>2</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2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Borders>
              <w:bottom w:val="single" w:sz="8" w:color="CCEEFF"/>
            </w:tcBorders>
          </w:tcPr>
          <w:p>
            <w:pPr>
              <w:jc w:val="right"/>
              <w:ind w:right="42"/>
              <w:spacing w:after="0"/>
              <w:rPr>
                <w:sz w:val="20"/>
                <w:szCs w:val="20"/>
                <w:color w:val="auto"/>
              </w:rPr>
            </w:pPr>
            <w:r>
              <w:rPr>
                <w:rFonts w:ascii="Times New Roman" w:cs="Times New Roman" w:eastAsia="Times New Roman" w:hAnsi="Times New Roman"/>
                <w:sz w:val="12"/>
                <w:szCs w:val="12"/>
                <w:color w:val="auto"/>
                <w:w w:val="99"/>
              </w:rPr>
              <w:t>2</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plan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4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sectPr>
          <w:pgSz w:w="11900" w:h="16838" w:orient="portrait"/>
          <w:cols w:equalWidth="0" w:num="1">
            <w:col w:w="11240"/>
          </w:cols>
          <w:pgMar w:left="320" w:top="891" w:right="339" w:bottom="1440" w:gutter="0" w:footer="0" w:header="0"/>
        </w:sect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ind w:hanging="8"/>
        <w:spacing w:after="0" w:line="282" w:lineRule="auto"/>
        <w:rPr>
          <w:sz w:val="20"/>
          <w:szCs w:val="20"/>
          <w:color w:val="auto"/>
        </w:rPr>
      </w:pPr>
      <w:r>
        <w:rPr>
          <w:rFonts w:ascii="Times New Roman" w:cs="Times New Roman" w:eastAsia="Times New Roman" w:hAnsi="Times New Roman"/>
          <w:sz w:val="18"/>
          <w:szCs w:val="18"/>
          <w:color w:val="auto"/>
        </w:rPr>
        <w:t xml:space="preserve">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certain investments are measured at fair value using the net asset value per share as a practical expedient. These assets have not been classified in the fair value hierarchy.</w:t>
      </w:r>
    </w:p>
    <w:p>
      <w:pPr>
        <w:spacing w:after="0" w:line="2" w:lineRule="exact"/>
        <w:rPr>
          <w:sz w:val="20"/>
          <w:szCs w:val="20"/>
          <w:color w:val="auto"/>
        </w:rPr>
      </w:pPr>
    </w:p>
    <w:p>
      <w:pPr>
        <w:ind w:hanging="8"/>
        <w:spacing w:after="0" w:line="282" w:lineRule="auto"/>
        <w:rPr>
          <w:sz w:val="20"/>
          <w:szCs w:val="20"/>
          <w:color w:val="auto"/>
        </w:rPr>
      </w:pPr>
      <w:r>
        <w:rPr>
          <w:rFonts w:ascii="Times New Roman" w:cs="Times New Roman" w:eastAsia="Times New Roman" w:hAnsi="Times New Roman"/>
          <w:sz w:val="18"/>
          <w:szCs w:val="18"/>
          <w:color w:val="auto"/>
        </w:rPr>
        <w:t>In accordance with ASC 820, investments have been measured using valuation techniques in which one or more significant inputs are unobservable (Level 3). See Note 1 for additional information.</w:t>
      </w:r>
    </w:p>
    <w:p>
      <w:pPr>
        <w:spacing w:after="0" w:line="108" w:lineRule="exact"/>
        <w:rPr>
          <w:sz w:val="20"/>
          <w:szCs w:val="20"/>
          <w:color w:val="auto"/>
        </w:rPr>
      </w:pPr>
    </w:p>
    <w:p>
      <w:pPr>
        <w:sectPr>
          <w:pgSz w:w="11900" w:h="16838" w:orient="portrait"/>
          <w:cols w:equalWidth="0" w:num="2">
            <w:col w:w="60" w:space="280"/>
            <w:col w:w="10900"/>
          </w:cols>
          <w:pgMar w:left="320" w:top="891" w:right="33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The Company does not expect to make any contributions to its qualified defined benefit pension plans in fiscal 2025 and expects to make $4.1 million in contributions to the SERP in fiscal 2025.</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benefit payments for the fiscal years subsequent to December 28, 2024 are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2026</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2027</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2028</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2029</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219"/>
              <w:spacing w:after="0"/>
              <w:rPr>
                <w:sz w:val="20"/>
                <w:szCs w:val="20"/>
                <w:color w:val="auto"/>
              </w:rPr>
            </w:pPr>
            <w:r>
              <w:rPr>
                <w:rFonts w:ascii="Times New Roman" w:cs="Times New Roman" w:eastAsia="Times New Roman" w:hAnsi="Times New Roman"/>
                <w:sz w:val="14"/>
                <w:szCs w:val="14"/>
                <w:color w:val="auto"/>
              </w:rPr>
              <w:t>2030-2034</w:t>
            </w: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benefit payments</w:t>
            </w:r>
          </w:p>
        </w:tc>
        <w:tc>
          <w:tcPr>
            <w:tcW w:w="80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geographic components of earnings (loss) before income taxes are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Fiscal Year</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433"/>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ind w:right="415"/>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ind w:right="433"/>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62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Foreign</w:t>
            </w: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(loss) before income taxes</w:t>
            </w:r>
          </w:p>
        </w:tc>
        <w:tc>
          <w:tcPr>
            <w:tcW w:w="360" w:type="dxa"/>
            <w:vAlign w:val="bottom"/>
            <w:tcBorders>
              <w:bottom w:val="single" w:sz="8" w:color="auto"/>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The provisions for income tax expense (benefit) consist of the following:</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702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Fiscal Year</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353"/>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ind w:right="375"/>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ind w:right="413"/>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6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expense:</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9"/>
                <w:szCs w:val="19"/>
                <w:color w:val="auto"/>
              </w:rPr>
            </w:pPr>
          </w:p>
        </w:tc>
        <w:tc>
          <w:tcPr>
            <w:tcW w:w="3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expense (benefit):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0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 reconciliation of the Company’s total income tax expense and the amount computed by applying the statutory federal income tax rate to earnings before income taxes is as follows: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Fiscal Year</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431"/>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right"/>
              <w:ind w:right="412"/>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431"/>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6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at U.S. statutory rate of 21%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income taxes, net of federal income tax</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earnings taxed at rates different from the U.S. statutory rate: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Hong Kong</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Italy</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United Kingdom</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 for uncertain tax positions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impact of impairment in foreign jurisdiction</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Global Intangible Low Tax Income tax</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Derived Intangible Income tax benefit</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executive compensation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Permanent adjustments related to employee share based compensation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adjustment related to goodwill divested</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loss from sale of subsidiary and changes to capital loss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adjustments and non-deductible expenses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Significant components of the Company’s deferred income tax assets and liabilities are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December 28,</w:t>
            </w:r>
          </w:p>
        </w:tc>
        <w:tc>
          <w:tcPr>
            <w:tcW w:w="180" w:type="dxa"/>
            <w:vAlign w:val="bottom"/>
          </w:tcPr>
          <w:p>
            <w:pPr>
              <w:spacing w:after="0"/>
              <w:rPr>
                <w:sz w:val="13"/>
                <w:szCs w:val="13"/>
                <w:color w:val="auto"/>
              </w:rPr>
            </w:pPr>
          </w:p>
        </w:tc>
        <w:tc>
          <w:tcPr>
            <w:tcW w:w="114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December 30,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4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ind w:right="412"/>
              <w:spacing w:after="0" w:line="125" w:lineRule="exact"/>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ind w:right="432"/>
              <w:spacing w:after="0" w:line="125" w:lineRule="exact"/>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7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Accounts receivable and inventory valuation allowances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compensation accruals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Accrued pension expense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operating loss and foreign tax credit carryforwards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Capital loss carryforwards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Tenant lease expenses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Environmental reserve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4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gross deferred income tax assets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4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income tax assets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Intangible assets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Tax over book depreciation and amortization</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84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deferred income tax liabilities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income tax asset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7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valuation allowance for deferred income tax assets as of December 28, 2024 and December 30, 2023 was $56.2 million and $55.6 million, respectively. The net increase in the total valuation allowance during fiscal 2024 was $0.6 million. The valuation allowance for both years is primarily related to U.S. state and local net operating loss carryforwards as well as a valuation allowance against state deferred tax assets for certain U.S. legal entities, U.S. federal capital loss carryforwards, foreign net operating loss carryforwards and tax credit carryforwards in foreign jurisdictions. The ultimate realization of the deferred tax assets depends on the generation of future taxable income in foreign jurisdictions as well as state and local tax jurisdictions, and capital gains in the U.S. tax jurisdiction. The current year change in the valuation allowance results in a decrease against the state deferred tax assets of $0.4 million, an increase related to state net operating loss carryforward of $3.9 million, a decrease related to U.S. federal capital loss carryforward of $0.4 million, and a net decrease relating to the foreign net operating losses and foreign tax credits and other deferred tax assets of $2.5 million.</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December 28, 2024, the Company had foreign net operating loss carryforwards of $33.3 million, which have expirations ranging from 2025 to an unlimited term during which they are available to offset future foreign taxable income. The Company had U.S. federal capital loss carryforwards, federal net operating loss carryforwards and Internal Revenue Code section 163(j) interest expense carryforwards of $103.5 million, $44.1 million, and $107.9 million respectively, which have expirations ranging from 2029 to an unlimited term during which they are available to offset future U.S. federal taxable income. The Company had state net operating loss carryforwards and Internal Revenue Code section 163(j) interest expense carryforwards of $302.8 million and $114.6 million respectively, which have expirations ranging from 2025 to an unlimited term during which they are available to offset future state taxable income. The Company also had tax credit carryforwards in foreign jurisdictions of $2.6 million, which are available for an unlimited carryforward period to offset future foreign taxes.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Company’s unrecognized tax benefits: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color w:val="auto"/>
              </w:rPr>
              <w:t>Fiscal Year</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ind w:right="415"/>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jc w:val="right"/>
              <w:ind w:right="433"/>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7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benefits at beginning of the year</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center"/>
              <w:ind w:left="473"/>
              <w:spacing w:after="0"/>
              <w:rPr>
                <w:sz w:val="20"/>
                <w:szCs w:val="20"/>
                <w:color w:val="auto"/>
              </w:rPr>
            </w:pPr>
            <w:r>
              <w:rPr>
                <w:rFonts w:ascii="Times New Roman" w:cs="Times New Roman" w:eastAsia="Times New Roman" w:hAnsi="Times New Roman"/>
                <w:sz w:val="18"/>
                <w:szCs w:val="18"/>
                <w:color w:val="auto"/>
                <w:w w:val="97"/>
              </w:rPr>
              <w:t>9.0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Increases related to current year tax positions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center"/>
              <w:ind w:left="473"/>
              <w:spacing w:after="0"/>
              <w:rPr>
                <w:sz w:val="20"/>
                <w:szCs w:val="20"/>
                <w:color w:val="auto"/>
              </w:rPr>
            </w:pPr>
            <w:r>
              <w:rPr>
                <w:rFonts w:ascii="Times New Roman" w:cs="Times New Roman" w:eastAsia="Times New Roman" w:hAnsi="Times New Roman"/>
                <w:sz w:val="18"/>
                <w:szCs w:val="18"/>
                <w:color w:val="auto"/>
                <w:w w:val="97"/>
              </w:rPr>
              <w:t>0.3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Decreases related to prior year positions</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453"/>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Decreases relating to settlements with taxing authorities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center"/>
              <w:ind w:left="453"/>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Decrease due to lapse of statute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center"/>
              <w:ind w:left="453"/>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Unrecognized tax benefits at end of the year</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center"/>
              <w:ind w:left="473"/>
              <w:spacing w:after="0"/>
              <w:rPr>
                <w:sz w:val="20"/>
                <w:szCs w:val="20"/>
                <w:color w:val="auto"/>
              </w:rPr>
            </w:pPr>
            <w:r>
              <w:rPr>
                <w:rFonts w:ascii="Times New Roman" w:cs="Times New Roman" w:eastAsia="Times New Roman" w:hAnsi="Times New Roman"/>
                <w:sz w:val="18"/>
                <w:szCs w:val="18"/>
                <w:color w:val="auto"/>
                <w:w w:val="97"/>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62" w:name="page63"/>
    <w:bookmarkEnd w:id="62"/>
    <w:p>
      <w:pPr>
        <w:jc w:val="both"/>
        <w:spacing w:after="0" w:line="261" w:lineRule="auto"/>
        <w:rPr>
          <w:sz w:val="20"/>
          <w:szCs w:val="20"/>
          <w:color w:val="auto"/>
        </w:rPr>
      </w:pPr>
      <w:r>
        <w:rPr>
          <w:rFonts w:ascii="Times New Roman" w:cs="Times New Roman" w:eastAsia="Times New Roman" w:hAnsi="Times New Roman"/>
          <w:sz w:val="18"/>
          <w:szCs w:val="18"/>
          <w:color w:val="auto"/>
        </w:rPr>
        <w:t>The portion of the unrecognized tax benefits that, if recognized currently, would reduce the annual effective tax rate was $1.6 million and $2.6 million as of December 28, 2024 and December 30, 2023, respectively. The Company recognizes interest and penalties related to unrecognized tax benefits through interest expense and income tax expense, respectively. Interest accrued related to unrecognized tax benefits was $0.3 million and $0.5 million as of December 28, 2024 and December 30, 2023, respectively.</w:t>
      </w:r>
    </w:p>
    <w:p>
      <w:pPr>
        <w:spacing w:after="0" w:line="1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is subject to periodic audits by domestic and foreign tax authorities. Currently, the Company is undergoing routine periodic audits in both domestic and foreign tax jurisdictions. It is reasonably possible that the amounts of unrecognized tax benefits could change in the next 12 months as a result of the audits. However, any payment of tax is not expected to be material to the consolidated financial statements. For the majority of tax jurisdictions, the Company is no longer subject to U.S. federal, state and local, or non-U.S. income tax examinations by tax authorities for years before 2020.</w:t>
      </w:r>
    </w:p>
    <w:p>
      <w:pPr>
        <w:spacing w:after="0" w:line="3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intends to repatriate cash held in foreign jurisdictions and as such has recorded a deferred tax liability related to additional state taxes and foreign withholding taxes on the future dividends received in the U.S. from the foreign subsidiaries of $1.5 million and $1.1 million for fiscal years 2024 and 2023. The Company intends to permanently reinvest all non-cash undistributed earnings outside of the U.S. and has, therefore, not established a deferred tax liability on the amount of non-cash foreign undistributed earnings of $37.9 million at December 28, 2024. However, if these non-cash undistributed earnings were repatriated, the Company would be required to accrue and pay applicable U.S. taxes and withholding taxes payable to various countries. It is not practicable to estimate the amount of the deferred tax liability associated with these non-cash unremitted earnings due to the complexity of the hypothetical calculation.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ACCUMULATED OTHER COMPREHENSIVE INCOME (LOSS)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Accumulated other comprehensive income represents net earnings and any revenue, expenses, gains and losses that, under U.S. GAAP, are excluded from net earnings and recognized directly as a component of stockholders’ equity.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accumulated other comprehensive income (loss) during fiscal years 2024 and 2023 is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Foreign</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60" w:type="dxa"/>
            <w:vAlign w:val="bottom"/>
          </w:tcPr>
          <w:p>
            <w:pPr>
              <w:spacing w:after="0"/>
              <w:rPr>
                <w:sz w:val="12"/>
                <w:szCs w:val="12"/>
                <w:color w:val="auto"/>
              </w:rPr>
            </w:pPr>
          </w:p>
        </w:tc>
        <w:tc>
          <w:tcPr>
            <w:tcW w:w="11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rPr>
              <w:t>currency</w:t>
            </w:r>
          </w:p>
        </w:tc>
        <w:tc>
          <w:tcPr>
            <w:tcW w:w="140" w:type="dxa"/>
            <w:vAlign w:val="bottom"/>
          </w:tcPr>
          <w:p>
            <w:pPr>
              <w:spacing w:after="0"/>
              <w:rPr>
                <w:sz w:val="12"/>
                <w:szCs w:val="12"/>
                <w:color w:val="auto"/>
              </w:rPr>
            </w:pPr>
          </w:p>
        </w:tc>
        <w:tc>
          <w:tcPr>
            <w:tcW w:w="88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color w:val="auto"/>
              </w:rPr>
              <w:t>Derivatives</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color w:val="auto"/>
              </w:rPr>
              <w:t>Pension</w:t>
            </w:r>
          </w:p>
        </w:tc>
        <w:tc>
          <w:tcPr>
            <w:tcW w:w="240" w:type="dxa"/>
            <w:vAlign w:val="bottom"/>
          </w:tcPr>
          <w:p>
            <w:pPr>
              <w:spacing w:after="0"/>
              <w:rPr>
                <w:sz w:val="12"/>
                <w:szCs w:val="12"/>
                <w:color w:val="auto"/>
              </w:rPr>
            </w:pPr>
          </w:p>
        </w:tc>
        <w:tc>
          <w:tcPr>
            <w:tcW w:w="78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440"/>
              <w:spacing w:after="0" w:line="125" w:lineRule="exact"/>
              <w:rPr>
                <w:sz w:val="20"/>
                <w:szCs w:val="20"/>
                <w:color w:val="auto"/>
              </w:rPr>
            </w:pPr>
            <w:r>
              <w:rPr>
                <w:rFonts w:ascii="Times New Roman" w:cs="Times New Roman" w:eastAsia="Times New Roman" w:hAnsi="Times New Roman"/>
                <w:sz w:val="14"/>
                <w:szCs w:val="14"/>
                <w:color w:val="auto"/>
              </w:rPr>
              <w:t>translation</w:t>
            </w: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5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ind w:left="311"/>
              <w:spacing w:after="0"/>
              <w:rPr>
                <w:sz w:val="20"/>
                <w:szCs w:val="20"/>
                <w:color w:val="auto"/>
              </w:rPr>
            </w:pPr>
            <w:r>
              <w:rPr>
                <w:rFonts w:ascii="Times New Roman" w:cs="Times New Roman" w:eastAsia="Times New Roman" w:hAnsi="Times New Roman"/>
                <w:sz w:val="18"/>
                <w:szCs w:val="18"/>
                <w:color w:val="auto"/>
                <w:w w:val="98"/>
              </w:rPr>
              <w:t>(1.7)</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Other comprehensive income (loss) before reclassifications </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center"/>
              <w:ind w:left="311"/>
              <w:spacing w:after="0"/>
              <w:rPr>
                <w:sz w:val="20"/>
                <w:szCs w:val="20"/>
                <w:color w:val="auto"/>
              </w:rPr>
            </w:pPr>
            <w:r>
              <w:rPr>
                <w:rFonts w:ascii="Times New Roman" w:cs="Times New Roman" w:eastAsia="Times New Roman" w:hAnsi="Times New Roman"/>
                <w:sz w:val="18"/>
                <w:szCs w:val="18"/>
                <w:color w:val="auto"/>
                <w:w w:val="98"/>
              </w:rPr>
              <w:t>(6.6)</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2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 (loss)</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34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2"/>
                <w:szCs w:val="12"/>
                <w:color w:val="auto"/>
                <w:w w:val="85"/>
              </w:rPr>
              <w:t>(2)</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line="230" w:lineRule="exact"/>
              <w:rPr>
                <w:sz w:val="20"/>
                <w:szCs w:val="20"/>
                <w:color w:val="auto"/>
              </w:rPr>
            </w:pPr>
            <w:r>
              <w:rPr>
                <w:rFonts w:ascii="Times New Roman" w:cs="Times New Roman" w:eastAsia="Times New Roman" w:hAnsi="Times New Roman"/>
                <w:sz w:val="18"/>
                <w:szCs w:val="18"/>
                <w:color w:val="auto"/>
              </w:rPr>
              <w:t xml:space="preserve">(0.7) </w:t>
            </w:r>
            <w:r>
              <w:rPr>
                <w:rFonts w:ascii="Times New Roman" w:cs="Times New Roman" w:eastAsia="Times New Roman" w:hAnsi="Times New Roman"/>
                <w:sz w:val="23"/>
                <w:szCs w:val="23"/>
                <w:color w:val="auto"/>
                <w:vertAlign w:val="superscript"/>
              </w:rPr>
              <w:t>(3)</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7"/>
              </w:rPr>
              <w:t>0.2</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620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reclassifications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3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center"/>
              <w:ind w:left="311"/>
              <w:spacing w:after="0"/>
              <w:rPr>
                <w:sz w:val="20"/>
                <w:szCs w:val="20"/>
                <w:color w:val="auto"/>
              </w:rPr>
            </w:pPr>
            <w:r>
              <w:rPr>
                <w:rFonts w:ascii="Times New Roman" w:cs="Times New Roman" w:eastAsia="Times New Roman" w:hAnsi="Times New Roman"/>
                <w:sz w:val="18"/>
                <w:szCs w:val="18"/>
                <w:color w:val="auto"/>
                <w:w w:val="98"/>
              </w:rPr>
              <w:t>(0.5)</w:t>
            </w:r>
          </w:p>
        </w:tc>
        <w:tc>
          <w:tcPr>
            <w:tcW w:w="3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6200" w:type="dxa"/>
            <w:vAlign w:val="bottom"/>
            <w:tcBorders>
              <w:bottom w:val="single" w:sz="8" w:color="CCEEFF"/>
            </w:tcBorders>
            <w:gridSpan w:val="2"/>
          </w:tcPr>
          <w:p>
            <w:pPr>
              <w:spacing w:after="0" w:line="223" w:lineRule="exact"/>
              <w:rPr>
                <w:sz w:val="20"/>
                <w:szCs w:val="20"/>
                <w:color w:val="auto"/>
              </w:rPr>
            </w:pPr>
            <w:r>
              <w:rPr>
                <w:rFonts w:ascii="Times New Roman" w:cs="Times New Roman" w:eastAsia="Times New Roman" w:hAnsi="Times New Roman"/>
                <w:sz w:val="18"/>
                <w:szCs w:val="18"/>
                <w:color w:val="auto"/>
              </w:rPr>
              <w:t xml:space="preserve">Net current-period other comprehensive income (loss) </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3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left="311"/>
              <w:spacing w:after="0"/>
              <w:rPr>
                <w:sz w:val="20"/>
                <w:szCs w:val="20"/>
                <w:color w:val="auto"/>
              </w:rPr>
            </w:pPr>
            <w:r>
              <w:rPr>
                <w:rFonts w:ascii="Times New Roman" w:cs="Times New Roman" w:eastAsia="Times New Roman" w:hAnsi="Times New Roman"/>
                <w:sz w:val="18"/>
                <w:szCs w:val="18"/>
                <w:color w:val="auto"/>
                <w:w w:val="98"/>
              </w:rPr>
              <w:t>(7.1)</w:t>
            </w:r>
          </w:p>
        </w:tc>
        <w:tc>
          <w:tcPr>
            <w:tcW w:w="3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30, 2023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2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3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center"/>
              <w:ind w:left="311"/>
              <w:spacing w:after="0"/>
              <w:rPr>
                <w:sz w:val="20"/>
                <w:szCs w:val="20"/>
                <w:color w:val="auto"/>
              </w:rPr>
            </w:pPr>
            <w:r>
              <w:rPr>
                <w:rFonts w:ascii="Times New Roman" w:cs="Times New Roman" w:eastAsia="Times New Roman" w:hAnsi="Times New Roman"/>
                <w:sz w:val="18"/>
                <w:szCs w:val="18"/>
                <w:color w:val="auto"/>
                <w:w w:val="98"/>
              </w:rPr>
              <w:t>(8.8)</w:t>
            </w:r>
          </w:p>
        </w:tc>
        <w:tc>
          <w:tcPr>
            <w:tcW w:w="3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gridSpan w:val="2"/>
          </w:tcPr>
          <w:p>
            <w:pPr>
              <w:spacing w:after="0" w:line="223" w:lineRule="exact"/>
              <w:rPr>
                <w:sz w:val="20"/>
                <w:szCs w:val="20"/>
                <w:color w:val="auto"/>
              </w:rPr>
            </w:pPr>
            <w:r>
              <w:rPr>
                <w:rFonts w:ascii="Times New Roman" w:cs="Times New Roman" w:eastAsia="Times New Roman" w:hAnsi="Times New Roman"/>
                <w:sz w:val="18"/>
                <w:szCs w:val="18"/>
                <w:color w:val="auto"/>
              </w:rPr>
              <w:t xml:space="preserve">Other comprehensive income (loss) before reclassifications </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7"/>
              </w:rPr>
              <w:t>3.9</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2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 (loss)</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4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2"/>
                <w:szCs w:val="12"/>
                <w:color w:val="auto"/>
                <w:w w:val="85"/>
              </w:rPr>
              <w:t>(2)</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line="230" w:lineRule="exact"/>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23"/>
                <w:szCs w:val="23"/>
                <w:color w:val="auto"/>
                <w:vertAlign w:val="superscript"/>
              </w:rPr>
              <w:t>(3)</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Income tax benefit</w:t>
            </w:r>
          </w:p>
        </w:tc>
        <w:tc>
          <w:tcPr>
            <w:tcW w:w="16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7"/>
              </w:rPr>
              <w:t>0.3</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620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reclassifications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center"/>
              <w:ind w:left="311"/>
              <w:spacing w:after="0"/>
              <w:rPr>
                <w:sz w:val="20"/>
                <w:szCs w:val="20"/>
                <w:color w:val="auto"/>
              </w:rPr>
            </w:pPr>
            <w:r>
              <w:rPr>
                <w:rFonts w:ascii="Times New Roman" w:cs="Times New Roman" w:eastAsia="Times New Roman" w:hAnsi="Times New Roman"/>
                <w:sz w:val="18"/>
                <w:szCs w:val="18"/>
                <w:color w:val="auto"/>
                <w:w w:val="98"/>
              </w:rPr>
              <w:t>(1.4)</w:t>
            </w:r>
          </w:p>
        </w:tc>
        <w:tc>
          <w:tcPr>
            <w:tcW w:w="3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6200" w:type="dxa"/>
            <w:vAlign w:val="bottom"/>
            <w:tcBorders>
              <w:bottom w:val="single" w:sz="8" w:color="CCEEFF"/>
            </w:tcBorders>
            <w:gridSpan w:val="2"/>
          </w:tcPr>
          <w:p>
            <w:pPr>
              <w:spacing w:after="0" w:line="223" w:lineRule="exact"/>
              <w:rPr>
                <w:sz w:val="20"/>
                <w:szCs w:val="20"/>
                <w:color w:val="auto"/>
              </w:rPr>
            </w:pPr>
            <w:r>
              <w:rPr>
                <w:rFonts w:ascii="Times New Roman" w:cs="Times New Roman" w:eastAsia="Times New Roman" w:hAnsi="Times New Roman"/>
                <w:sz w:val="18"/>
                <w:szCs w:val="18"/>
                <w:color w:val="auto"/>
              </w:rPr>
              <w:t xml:space="preserve">Net current-period other comprehensive income (loss) </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3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left="351"/>
              <w:spacing w:after="0"/>
              <w:rPr>
                <w:sz w:val="20"/>
                <w:szCs w:val="20"/>
                <w:color w:val="auto"/>
              </w:rPr>
            </w:pPr>
            <w:r>
              <w:rPr>
                <w:rFonts w:ascii="Times New Roman" w:cs="Times New Roman" w:eastAsia="Times New Roman" w:hAnsi="Times New Roman"/>
                <w:sz w:val="18"/>
                <w:szCs w:val="18"/>
                <w:color w:val="auto"/>
                <w:w w:val="97"/>
              </w:rPr>
              <w:t>2.5</w:t>
            </w:r>
          </w:p>
        </w:tc>
        <w:tc>
          <w:tcPr>
            <w:tcW w:w="3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28, 2024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center"/>
              <w:ind w:left="311"/>
              <w:spacing w:after="0"/>
              <w:rPr>
                <w:sz w:val="20"/>
                <w:szCs w:val="20"/>
                <w:color w:val="auto"/>
              </w:rPr>
            </w:pPr>
            <w:r>
              <w:rPr>
                <w:rFonts w:ascii="Times New Roman" w:cs="Times New Roman" w:eastAsia="Times New Roman" w:hAnsi="Times New Roman"/>
                <w:sz w:val="18"/>
                <w:szCs w:val="18"/>
                <w:color w:val="auto"/>
                <w:w w:val="98"/>
              </w:rPr>
              <w:t>(6.3)</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1" w:lineRule="exact"/>
        <w:rPr>
          <w:sz w:val="20"/>
          <w:szCs w:val="20"/>
          <w:color w:val="auto"/>
        </w:rPr>
      </w:pPr>
    </w:p>
    <w:p>
      <w:pPr>
        <w:ind w:left="320" w:hanging="312"/>
        <w:spacing w:after="0"/>
        <w:tabs>
          <w:tab w:leader="none" w:pos="320" w:val="left"/>
        </w:tabs>
        <w:numPr>
          <w:ilvl w:val="0"/>
          <w:numId w:val="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comprehensive income (loss) is reported net of taxes and noncontrolling interest.</w:t>
      </w:r>
    </w:p>
    <w:p>
      <w:pPr>
        <w:spacing w:after="0" w:line="89" w:lineRule="exact"/>
        <w:rPr>
          <w:rFonts w:ascii="Times New Roman" w:cs="Times New Roman" w:eastAsia="Times New Roman" w:hAnsi="Times New Roman"/>
          <w:sz w:val="23"/>
          <w:szCs w:val="23"/>
          <w:color w:val="auto"/>
          <w:vertAlign w:val="superscript"/>
        </w:rPr>
      </w:pPr>
    </w:p>
    <w:p>
      <w:pPr>
        <w:jc w:val="both"/>
        <w:ind w:left="340" w:hanging="332"/>
        <w:spacing w:after="0" w:line="235" w:lineRule="auto"/>
        <w:tabs>
          <w:tab w:leader="none" w:pos="328" w:val="left"/>
        </w:tabs>
        <w:numPr>
          <w:ilvl w:val="0"/>
          <w:numId w:val="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related to foreign currency derivatives used to manage the volatility associated with inventory purchases in various currencies and deemed to be highly effective are included in cost of goods sold. Amounts related to foreign currency derivatives that are no longer deemed to be highly effective are included in other income. Amounts related to interest rate swaps are included in interest expense.</w:t>
      </w:r>
    </w:p>
    <w:p>
      <w:pPr>
        <w:spacing w:after="0" w:line="61"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reclassified are included in the computation of net pension expense.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3" w:name="page64"/>
    <w:bookmarkEnd w:id="63"/>
    <w:p>
      <w:pPr>
        <w:ind w:right="8240" w:firstLine="8"/>
        <w:spacing w:after="0" w:line="375" w:lineRule="auto"/>
        <w:tabs>
          <w:tab w:leader="none" w:pos="319" w:val="left"/>
        </w:tabs>
        <w:numPr>
          <w:ilvl w:val="0"/>
          <w:numId w:val="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FAIR VALUE MEASUREMENTS Recurring Fair Value Measurements</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financial assets and liabilities measured at fair value in the consolidated balance sheets and the respective pricing levels to which the fair value measurements are classified within the fair value hierarchy.</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60" w:type="dxa"/>
            <w:vAlign w:val="bottom"/>
            <w:gridSpan w:val="4"/>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r>
      <w:tr>
        <w:trPr>
          <w:trHeight w:val="2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gridSpan w:val="4"/>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4"/>
          </w:tcPr>
          <w:p>
            <w:pPr>
              <w:jc w:val="center"/>
              <w:ind w:right="76"/>
              <w:spacing w:after="0"/>
              <w:rPr>
                <w:sz w:val="20"/>
                <w:szCs w:val="20"/>
                <w:color w:val="auto"/>
              </w:rPr>
            </w:pPr>
            <w:r>
              <w:rPr>
                <w:rFonts w:ascii="Times New Roman" w:cs="Times New Roman" w:eastAsia="Times New Roman" w:hAnsi="Times New Roman"/>
                <w:sz w:val="14"/>
                <w:szCs w:val="14"/>
                <w:color w:val="auto"/>
              </w:rPr>
              <w:t>Quoted Prices With Other Observable Inputs (Level 2)</w:t>
            </w:r>
          </w:p>
        </w:tc>
      </w:tr>
      <w:tr>
        <w:trPr>
          <w:trHeight w:val="148"/>
        </w:trPr>
        <w:tc>
          <w:tcPr>
            <w:tcW w:w="20" w:type="dxa"/>
            <w:vAlign w:val="bottom"/>
          </w:tcPr>
          <w:p>
            <w:pPr>
              <w:spacing w:after="0"/>
              <w:rPr>
                <w:sz w:val="12"/>
                <w:szCs w:val="12"/>
                <w:color w:val="auto"/>
              </w:rPr>
            </w:pPr>
          </w:p>
        </w:tc>
        <w:tc>
          <w:tcPr>
            <w:tcW w:w="75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(In millions)</w:t>
            </w:r>
          </w:p>
        </w:tc>
        <w:tc>
          <w:tcPr>
            <w:tcW w:w="160" w:type="dxa"/>
            <w:vAlign w:val="bottom"/>
          </w:tcPr>
          <w:p>
            <w:pPr>
              <w:spacing w:after="0"/>
              <w:rPr>
                <w:sz w:val="12"/>
                <w:szCs w:val="12"/>
                <w:color w:val="auto"/>
              </w:rPr>
            </w:pPr>
          </w:p>
        </w:tc>
        <w:tc>
          <w:tcPr>
            <w:tcW w:w="17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December 28, 2024</w:t>
            </w:r>
          </w:p>
        </w:tc>
        <w:tc>
          <w:tcPr>
            <w:tcW w:w="200" w:type="dxa"/>
            <w:vAlign w:val="bottom"/>
          </w:tcPr>
          <w:p>
            <w:pPr>
              <w:spacing w:after="0"/>
              <w:rPr>
                <w:sz w:val="12"/>
                <w:szCs w:val="12"/>
                <w:color w:val="auto"/>
              </w:rPr>
            </w:pPr>
          </w:p>
        </w:tc>
        <w:tc>
          <w:tcPr>
            <w:tcW w:w="15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December 30, 2023</w:t>
            </w: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Derivatives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20" w:type="dxa"/>
            <w:vAlign w:val="bottom"/>
            <w:shd w:val="clear" w:color="auto" w:fill="CCEEFF"/>
          </w:tcPr>
          <w:p>
            <w:pPr>
              <w:spacing w:after="0"/>
              <w:rPr>
                <w:sz w:val="19"/>
                <w:szCs w:val="19"/>
                <w:color w:val="auto"/>
              </w:rPr>
            </w:pPr>
          </w:p>
        </w:tc>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7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Derivatives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bl>
    <w:p>
      <w:pPr>
        <w:spacing w:after="0" w:line="233" w:lineRule="exact"/>
        <w:rPr>
          <w:sz w:val="20"/>
          <w:szCs w:val="20"/>
          <w:color w:val="auto"/>
        </w:rPr>
      </w:pPr>
    </w:p>
    <w:p>
      <w:pPr>
        <w:ind w:right="800"/>
        <w:spacing w:after="0" w:line="391" w:lineRule="auto"/>
        <w:rPr>
          <w:sz w:val="20"/>
          <w:szCs w:val="20"/>
          <w:color w:val="auto"/>
        </w:rPr>
      </w:pPr>
      <w:r>
        <w:rPr>
          <w:rFonts w:ascii="Times New Roman" w:cs="Times New Roman" w:eastAsia="Times New Roman" w:hAnsi="Times New Roman"/>
          <w:sz w:val="18"/>
          <w:szCs w:val="18"/>
          <w:color w:val="auto"/>
        </w:rPr>
        <w:t xml:space="preserve">The fair value of foreign currency forward exchange contracts represents the estimated receipts or payments necessary to terminate the contracts. </w:t>
      </w:r>
      <w:r>
        <w:rPr>
          <w:rFonts w:ascii="Times New Roman" w:cs="Times New Roman" w:eastAsia="Times New Roman" w:hAnsi="Times New Roman"/>
          <w:sz w:val="18"/>
          <w:szCs w:val="18"/>
          <w:b w:val="1"/>
          <w:bCs w:val="1"/>
          <w:color w:val="auto"/>
        </w:rPr>
        <w:t>Nonrecurring Fair Value Measurements</w:t>
      </w:r>
    </w:p>
    <w:p>
      <w:pPr>
        <w:spacing w:after="0" w:line="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Indefinite-lived intangible assets and goodwill are tested annually, or if a triggering event occurs that indicates an impairment loss may have been incurred, using fair value measurements with unobservable inputs (Level 3). In the third quarter of 2023, based on the results of the impairment testing, the Company recognized impairment charges of $38.3 million to the </w:t>
      </w:r>
      <w:r>
        <w:rPr>
          <w:rFonts w:ascii="Times New Roman" w:cs="Times New Roman" w:eastAsia="Times New Roman" w:hAnsi="Times New Roman"/>
          <w:sz w:val="18"/>
          <w:szCs w:val="18"/>
          <w:i w:val="1"/>
          <w:iCs w:val="1"/>
          <w:color w:val="auto"/>
        </w:rPr>
        <w:t>Sperry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trade name. Refer to Note 4, “Goodwill and Other Intangible Assets” for additional discussion on the </w:t>
      </w:r>
      <w:r>
        <w:rPr>
          <w:rFonts w:ascii="Times New Roman" w:cs="Times New Roman" w:eastAsia="Times New Roman" w:hAnsi="Times New Roman"/>
          <w:sz w:val="18"/>
          <w:szCs w:val="18"/>
          <w:i w:val="1"/>
          <w:iCs w:val="1"/>
          <w:color w:val="auto"/>
        </w:rPr>
        <w:t>Sperry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trade name impairment.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Disclosures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that are not recorded at fair value consist of cash and cash equivalents, accounts and notes receivable, accounts payable, borrowings under revolving credit agreements and other short-term and long-term debt. The carrying amount of these financial instruments is historical cost, which approximates fair value, except for the debt. The carrying value and the fair value of the Company’s debt are as follows: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Pr>
          <w:p>
            <w:pPr>
              <w:spacing w:after="0"/>
              <w:rPr>
                <w:sz w:val="13"/>
                <w:szCs w:val="13"/>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December 28, 2024</w:t>
            </w:r>
          </w:p>
        </w:tc>
        <w:tc>
          <w:tcPr>
            <w:tcW w:w="200" w:type="dxa"/>
            <w:vAlign w:val="bottom"/>
          </w:tcPr>
          <w:p>
            <w:pPr>
              <w:spacing w:after="0"/>
              <w:rPr>
                <w:sz w:val="13"/>
                <w:szCs w:val="13"/>
                <w:color w:val="auto"/>
              </w:rPr>
            </w:pPr>
          </w:p>
        </w:tc>
        <w:tc>
          <w:tcPr>
            <w:tcW w:w="1560" w:type="dxa"/>
            <w:vAlign w:val="bottom"/>
          </w:tcPr>
          <w:p>
            <w:pPr>
              <w:jc w:val="right"/>
              <w:ind w:right="236"/>
              <w:spacing w:after="0"/>
              <w:rPr>
                <w:sz w:val="20"/>
                <w:szCs w:val="20"/>
                <w:color w:val="auto"/>
              </w:rPr>
            </w:pPr>
            <w:r>
              <w:rPr>
                <w:rFonts w:ascii="Times New Roman" w:cs="Times New Roman" w:eastAsia="Times New Roman" w:hAnsi="Times New Roman"/>
                <w:sz w:val="14"/>
                <w:szCs w:val="14"/>
                <w:color w:val="auto"/>
              </w:rPr>
              <w:t>December 30, 2023</w:t>
            </w: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value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920.8</w:t>
            </w:r>
          </w:p>
        </w:tc>
      </w:tr>
      <w:tr>
        <w:trPr>
          <w:trHeight w:val="234"/>
        </w:trPr>
        <w:tc>
          <w:tcPr>
            <w:tcW w:w="20" w:type="dxa"/>
            <w:vAlign w:val="bottom"/>
          </w:tcPr>
          <w:p>
            <w:pPr>
              <w:spacing w:after="0"/>
              <w:rPr>
                <w:sz w:val="20"/>
                <w:szCs w:val="20"/>
                <w:color w:val="auto"/>
              </w:rPr>
            </w:pPr>
          </w:p>
        </w:tc>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w:t>
            </w: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813.3</w:t>
            </w:r>
          </w:p>
        </w:tc>
      </w:tr>
    </w:tbl>
    <w:p>
      <w:pPr>
        <w:spacing w:after="0" w:line="2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the fixed rate debt was based on third-party quotes (Level 2). The fair value of the variable rate debt was calculated by discounting the future cash flows to its present value using a discount rate based on the risk-free rate of the same maturity (Level 3).</w:t>
      </w:r>
    </w:p>
    <w:p>
      <w:pPr>
        <w:spacing w:after="0" w:line="158" w:lineRule="exact"/>
        <w:rPr>
          <w:sz w:val="20"/>
          <w:szCs w:val="20"/>
          <w:color w:val="auto"/>
        </w:rPr>
      </w:pPr>
    </w:p>
    <w:p>
      <w:pPr>
        <w:ind w:right="7800" w:firstLine="8"/>
        <w:spacing w:after="0" w:line="362" w:lineRule="auto"/>
        <w:tabs>
          <w:tab w:leader="none" w:pos="319"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LITIGATION AND CONTINGENCIES Litigation</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operated a leather tannery in Rockford, Michigan from the early 1900s through 2009 (the “Tannery”). The Company also owns a parcel on House Street in Plainfield Township that the Company used for the disposal of Tannery byproducts until about 1970 (the "House Street" site). Beginning in the late 1950s, the Company used 3M Company’s Scotchgard™ in its processing of certain leathers at the Tannery. Until 2002 when 3M Company changed its Scotchgard™ formula, Tannery byproducts disposed of by the Company at the House Street site and other locations may have contained PFOA and/or PFOS, two chemicals in the family of compounds known as per- and polyfluoroalkyl substances (together, “PFAS”). PFOA and PFOS help provide non-stick, stain-resistant, and water-resistant qualities, and were used for many decades in commercial products like firefighting foams and metal plating, and in common consumer items like food wrappers, microwave popcorn bags, pizza boxes, Teflon™, carpets and Scotchgard™.</w:t>
      </w:r>
    </w:p>
    <w:p>
      <w:pPr>
        <w:spacing w:after="0" w:line="13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May 2016, the Environmental Protection Agency (“EPA”) announced a lifetime health advisory level of 70 parts per trillion (“ppt”) combined for PFOA and PFOS, which the EPA reduced in June 2022 to 0.004 ppt and 0.02 ppt for PFOA and PFOS, respectively. In January 2018, the Michigan Department of Environmental Quality (“MDEQ”, now known as the Michigan Department of Environment, Great Lakes, and Energy (“EGLE”)) enacted a drinking water criterion of 70 ppt combined for PFOA and PFOS, which set an official state standard for acceptable concentrations of these contaminants in groundwater used for drinking water purposes. On August 3, 2020, Michigan changed the standards for PFOA and PFOS in drinking water to 8 and 16 ppt, respectively, and set standards for four other PFAS substances.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i w:val="1"/>
          <w:iCs w:val="1"/>
          <w:color w:val="auto"/>
        </w:rPr>
        <w:t>Civil and Regulatory Actions of EGLE and EPA</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10, 2018, EGLE filed a civil action against the Company in the U.S. District Court for the Western District of Michigan under the federal Resource Conservation and Recovery Act of 1976 (“RCRA”) and Parts 201 and 31 of the Michigan Natural Resources and Environmental Protection Act (“NREPA”) alleging that the Company’s past and present handling, storage, treatment, transportation and/or disposal of solid waste at the Company’s properties has resulted in releases of PFAS at levels exceeding applicable Michigan cleanup criteria for PFOA and PFOS (the "EGLE Action"). Plainfield and Algoma Townships intervened in the EGLE Action alleging claims under RCRA, NREPA, the Comprehensive Environmental Response, Compensation, and Liability Act (“CERCLA”) and common law nuisance.</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3, 2020, the parties entered into a consent decree resolving the EGLE Action, which was approved by U.S. District Judge Janet T. Neff on February 19, 2020 (the “Consent Decree”). Under the Consent Decree, the Company agreed to pay for an extension of Plainfield Township’s municipal water system to more than 1,000 properties in Plainfield and Algoma Townships, subject to an aggregate cap of $69.5 million. The Company also agreed to continue maintaining water filters for certain homeowners, resample certain residential wells for PFAS, continue remediation at the Company’s Tannery property and House Street site, and conduct further investigations and monitoring to assess the presence of PFAS in area groundwater. The Company’s activities under the Consent Decree are not materially impacted by either the drinking water standards that became effective on August 3, 2020, or the EPA’s revised advisory levels issued in June 2022.</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19, 2018, the Company filed a third-party complaint against 3M Company seeking, among other things, recovery of the Company’s remediation and other costs incurred in defense of the EGLE Action ("the 3M Action"). On June 20, 2019, the 3M Company filed a counterclaim against the Company in response to the 3M Action, seeking, among other things, contractual and common law indemnity and contribution under CERCLA and Part 201 of NREPA. On February 20, 2020, the Company and 3M Company entered into a settlement agreement resolving the 3M Action, under which 3M Company paid the Company a lump sum amount of $55.0 million during the first quarter of 2020.</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10, 2018, the EPA entered a Unilateral Administrative Order (the “Order”) under Section 106(a) of CERCLA, 42 U.S.C. § 9606(a) with an effective date of February 1, 2018. The Order pertained to specified removal actions at the Company's Tannery and House Street sites, including certain time critical removal actions subsequently identified in an April 29, 2019 letter from the EPA, to abate the actual or threatened release of hazardous substances at or from the sites. On October 28, 2019, the EPA and the Company entered into an Administrative Settlement and Order on Consent (“AOC”) that supersedes the Order and addresses the agreed-upon removal actions outlined in the Order. The Company has completed the activities required by the AOC.</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discusses its reserve for remediation costs in the environmental liabilities section below.</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Individual and Class Action Litigation</w:t>
      </w:r>
    </w:p>
    <w:p>
      <w:pPr>
        <w:spacing w:after="0" w:line="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Beginning in late 2017, individual lawsuits and three putative class action lawsuits were filed against the Company that raise a variety of claims, including claims related to property, remediation, and human health effects. The three putative class action lawsuits were subsequently refiled in the U.S. District Court for the Western District of Michigan as a single consolidated putative class action lawsuit. 3M Company has been named as a co-defendant in the individual lawsuits and consolidated putative class action lawsuit. In addition, the current owner of a former landfill and gravel mining operation sued the Company seeking damages and cost recovery for property damage allegedly caused by the Company’s disposal of tannery waste containing PFAS. The owner of another former landfill filed notice threatening suit and sent a demand letter to the Company seeking recovery for damages allegedly caused by the Company’s disposal of tannery waste containing PFAS (this notice, the former landfill and gravel mining suit and the individual lawsuits and putative class action, collectively, the “Litigation Matters”).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11, 2022, the Company and 3M Company entered into a master settlement agreement with the law firm representing certain of the plaintiffs in the individual lawsuits included in the Litigation Matters, and each of these plaintiffs subsequently agreed to participate in the settlement. These plaintiffs’ lawsuits were dismissed with prejudice on or around April 25, 2022.</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9, 2021, the Company and 3M Company reached a settlement in principle to resolve certain of the remaining individual lawsuits included in the Litigation Matters, and the parties entered into definitive settlement agreements in March 2022. These plaintiffs’ lawsuits were dismissed with prejudice on June 14, 2022. The last remaining individual action was dismissed without prejudice on June 24, 2022.</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65" w:name="page66"/>
    <w:bookmarkEnd w:id="65"/>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in September 2022, the parties to the putative class action filed a motion for preliminary approval of a proposed class action settlement seeking to resolve the putative class action plaintiffs’ claims. On March 29, 2023, the court presiding over the putative class action granted final approval of the proposed settlement and dismissed the lawsuit with prejudice.</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last remaining Litigation Matter, the lawsuit filed by the current owner of a former landfill and gravel mining operations, was pending in Michigan state court but has been administratively stayed by the Court.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certain of the Litigation Matters described above, and as a result of developments during the 2024 fiscal year, the Company increased its accrual by $6.0 million. The Company made related payments of $1.0 million in connection with the Litigation Matters described above during fiscal year 2024. As of December 28, 2024, the Company had recorded liabilities of $10.1 million for certain of the Litigation Matters described above which are recorded as other accrued liabilities and other liabilities in the consolidated balance sheets.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2018, the Company filed a lawsuit against certain of its historic liability insurers, seeking to compel them to provide a defense against the Litigation Matters on the Company's behalf and coverage for remediation efforts undertaken by, and indemnity provided by, the Company. Following the last recovery payment recieved, the lawsuit was dismissed in December 2024. The Company recognized certain recoveries from legacy insurance policies in 2024 and 2023.</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Litigation</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also involved in litigation incidental to its business and is a party to legal actions and claims, including, but not limited to, those related to employment, intellectual property, and consumer related matters. Some of the legal proceedings include claims for compensatory as well as punitive damages. While the final outcome of these matters cannot be predicted with certainty, considering, among other things, the meritorious legal defenses available to the Company and reserves for liabilities that the Company has recorded, along with applicable insurance, it is management’s opinion that the outcome of these items are not expected to have a material adverse effect on the Company’s consolidated financial position, results of operations or cash flows.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Liabilities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activity with respect to the environmental remediation reserve established by the Company:</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color w:val="auto"/>
              </w:rPr>
              <w:t>Fiscal Year</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476"/>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tcPr>
          <w:p>
            <w:pPr>
              <w:jc w:val="right"/>
              <w:ind w:right="494"/>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7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Remediation liability at beginning of the year</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Changes in estimate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1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Amounts paid</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Remediation liability at the end of the year</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reserve balance as of December 28, 2024 includes $19.4 million that is expected to be paid within the next twelve months and is recorded as a current obligation in other accrued liabilities, with the remaining $20.3 million expected to be paid over the course of up to 25 years, recorded in other liabilities.</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remediation activity at the Tannery property, House Street site and other relevant operations or disposal sites is ongoing. Although the Consent Decree has made near-term costs more clear, it is difficult to estimate the long-term cost of environmental compliance and remediation given the uncertainties regarding the interpretation and enforcement of applicable environmental laws and regulations, the extent of environmental contamination and the existence of alternative cleanup methods. Future developments may occur that could materially change the Company’s current cost estimates, including, but not limited to: (i) changes in the information available regarding the environmental impact of the Company’s operations and products; (ii) changes in environmental regulations, changes in permissible levels of specific compounds in drinking water sources, or changes in enforcement theories and policies, including efforts to recover natural resource damages; (iii) new and evolving analytical and remediation techniques; (iv) changes to the form of remediation; (v) success in allocating liability to other potentially responsible parties; and (vi) the financial viability of other potentially responsible parties and third-party indemnitors. For locations at which remediation activity is largely ongoing, the Company cannot estimate a possible loss or range of loss in excess of the associated established reserves for the reasons described above. The Company adjusts recorded liabilities as further information develops or circumstances change.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Minimum Royalties and Advertising Commitments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future minimum royalty and advertising obligations due under the terms of certain licenses held by the Company. These minimum future obligations for the fiscal years subsequent to December 28, 2024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Pr>
          <w:p>
            <w:pPr>
              <w:spacing w:after="0"/>
              <w:rPr>
                <w:sz w:val="13"/>
                <w:szCs w:val="13"/>
                <w:color w:val="auto"/>
              </w:rPr>
            </w:pPr>
          </w:p>
        </w:tc>
        <w:tc>
          <w:tcPr>
            <w:tcW w:w="920" w:type="dxa"/>
            <w:vAlign w:val="bottom"/>
          </w:tcPr>
          <w:p>
            <w:pPr>
              <w:jc w:val="right"/>
              <w:ind w:right="376"/>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ind w:right="356"/>
              <w:spacing w:after="0"/>
              <w:rPr>
                <w:sz w:val="20"/>
                <w:szCs w:val="20"/>
                <w:color w:val="auto"/>
              </w:rPr>
            </w:pPr>
            <w:r>
              <w:rPr>
                <w:rFonts w:ascii="Times New Roman" w:cs="Times New Roman" w:eastAsia="Times New Roman" w:hAnsi="Times New Roman"/>
                <w:sz w:val="14"/>
                <w:szCs w:val="14"/>
                <w:color w:val="auto"/>
              </w:rPr>
              <w:t>2026</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ind w:right="356"/>
              <w:spacing w:after="0"/>
              <w:rPr>
                <w:sz w:val="20"/>
                <w:szCs w:val="20"/>
                <w:color w:val="auto"/>
              </w:rPr>
            </w:pPr>
            <w:r>
              <w:rPr>
                <w:rFonts w:ascii="Times New Roman" w:cs="Times New Roman" w:eastAsia="Times New Roman" w:hAnsi="Times New Roman"/>
                <w:sz w:val="14"/>
                <w:szCs w:val="14"/>
                <w:color w:val="auto"/>
              </w:rPr>
              <w:t>2027</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ind w:right="376"/>
              <w:spacing w:after="0"/>
              <w:rPr>
                <w:sz w:val="20"/>
                <w:szCs w:val="20"/>
                <w:color w:val="auto"/>
              </w:rPr>
            </w:pPr>
            <w:r>
              <w:rPr>
                <w:rFonts w:ascii="Times New Roman" w:cs="Times New Roman" w:eastAsia="Times New Roman" w:hAnsi="Times New Roman"/>
                <w:sz w:val="14"/>
                <w:szCs w:val="14"/>
                <w:color w:val="auto"/>
              </w:rPr>
              <w:t>2028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ind w:right="376"/>
              <w:spacing w:after="0"/>
              <w:rPr>
                <w:sz w:val="20"/>
                <w:szCs w:val="20"/>
                <w:color w:val="auto"/>
              </w:rPr>
            </w:pPr>
            <w:r>
              <w:rPr>
                <w:rFonts w:ascii="Times New Roman" w:cs="Times New Roman" w:eastAsia="Times New Roman" w:hAnsi="Times New Roman"/>
                <w:sz w:val="14"/>
                <w:szCs w:val="14"/>
                <w:color w:val="auto"/>
              </w:rPr>
              <w:t>2029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Thereafter</w:t>
            </w: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Minimum royalties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0" w:type="dxa"/>
            <w:vAlign w:val="bottom"/>
          </w:tcPr>
          <w:p>
            <w:pPr>
              <w:spacing w:after="0"/>
              <w:rPr>
                <w:sz w:val="20"/>
                <w:szCs w:val="20"/>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Minimum advertising</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r>
    </w:tbl>
    <w:p>
      <w:pPr>
        <w:spacing w:after="0" w:line="2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Minimum royalties are based on both fixed obligations and assumptions regarding the Consumer Price Index. Royalty obligations in excess of minimum requirements are based upon future sales levels. In accordance with these agreements, the Company incurred royalty expense of $1.4 million, $1.5 million and $2.3 million for fiscal years 2024, 2023 and 2022, respectively.</w:t>
      </w:r>
    </w:p>
    <w:p>
      <w:pPr>
        <w:spacing w:after="0" w:line="12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terms of certain license agreements also require the Company to make advertising expenditures based on the level of sales of the licensed products. In accordance with these agreements, the Company incurred advertising expense of $5.9 million, $6.9 million and $6.5 million for fiscal years 2024, 2023 and 2022,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BUSINESS SEGMENTS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portfolio of brands is organized into the following reportable segments.</w:t>
      </w:r>
    </w:p>
    <w:p>
      <w:pPr>
        <w:spacing w:after="0" w:line="59" w:lineRule="exact"/>
        <w:rPr>
          <w:sz w:val="20"/>
          <w:szCs w:val="20"/>
          <w:color w:val="auto"/>
        </w:rPr>
      </w:pPr>
    </w:p>
    <w:p>
      <w:pPr>
        <w:ind w:left="640" w:hanging="308"/>
        <w:spacing w:after="0"/>
        <w:tabs>
          <w:tab w:leader="none" w:pos="640" w:val="left"/>
        </w:tabs>
        <w:numPr>
          <w:ilvl w:val="0"/>
          <w:numId w:val="3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b w:val="1"/>
          <w:bCs w:val="1"/>
          <w:color w:val="auto"/>
        </w:rPr>
        <w:t xml:space="preserve">Active Group, </w:t>
      </w:r>
      <w:r>
        <w:rPr>
          <w:rFonts w:ascii="Times New Roman" w:cs="Times New Roman" w:eastAsia="Times New Roman" w:hAnsi="Times New Roman"/>
          <w:sz w:val="17"/>
          <w:szCs w:val="17"/>
          <w:color w:val="auto"/>
        </w:rPr>
        <w:t>consisting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Merrell</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footwear and apparel,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Saucony</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footwear and apparel,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Sweaty Betty</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activewear,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Chaco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footwear; and</w:t>
      </w:r>
    </w:p>
    <w:p>
      <w:pPr>
        <w:spacing w:after="0" w:line="41" w:lineRule="exact"/>
        <w:rPr>
          <w:rFonts w:ascii="Times New Roman" w:cs="Times New Roman" w:eastAsia="Times New Roman" w:hAnsi="Times New Roman"/>
          <w:sz w:val="16"/>
          <w:szCs w:val="16"/>
          <w:b w:val="1"/>
          <w:bCs w:val="1"/>
          <w:color w:val="auto"/>
        </w:rPr>
      </w:pPr>
    </w:p>
    <w:p>
      <w:pPr>
        <w:ind w:left="660" w:hanging="328"/>
        <w:spacing w:after="0" w:line="226"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Work Group, </w:t>
      </w:r>
      <w:r>
        <w:rPr>
          <w:rFonts w:ascii="Times New Roman" w:cs="Times New Roman" w:eastAsia="Times New Roman" w:hAnsi="Times New Roman"/>
          <w:sz w:val="18"/>
          <w:szCs w:val="18"/>
          <w:color w:val="auto"/>
        </w:rPr>
        <w:t>consisting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Wolverine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footwear and apparel,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Cat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footwear,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Bates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uniform footwear,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Harley-Davidson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footwear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HYTEST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safety footwear;</w:t>
      </w:r>
    </w:p>
    <w:p>
      <w:pPr>
        <w:spacing w:after="0" w:line="7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 xml:space="preserve">The Company's operating segments are the Active Group, Work Group, and </w:t>
      </w:r>
      <w:r>
        <w:rPr>
          <w:rFonts w:ascii="Times New Roman" w:cs="Times New Roman" w:eastAsia="Times New Roman" w:hAnsi="Times New Roman"/>
          <w:sz w:val="18"/>
          <w:szCs w:val="18"/>
          <w:i w:val="1"/>
          <w:iCs w:val="1"/>
          <w:color w:val="auto"/>
        </w:rPr>
        <w:t>Sweaty Betty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Sweaty Betty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the Active Group were evaluated and combined into one reportable segment because they meet the similar economic characteristics and qualitative aggregation criteria set forth in the relevant accounting guidance. The Company's chief operating decision maker is the President and Chief Executive Officer. The chief operating decision maker uses segment operating profit to assess the performance of and to allocate resources to each segment.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Kids' footwear offerings from </w:t>
      </w:r>
      <w:r>
        <w:rPr>
          <w:rFonts w:ascii="Times New Roman" w:cs="Times New Roman" w:eastAsia="Times New Roman" w:hAnsi="Times New Roman"/>
          <w:sz w:val="18"/>
          <w:szCs w:val="18"/>
          <w:i w:val="1"/>
          <w:iCs w:val="1"/>
          <w:color w:val="auto"/>
        </w:rPr>
        <w:t>Saucony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Sperry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Keds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Merrell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Hush Puppies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Cat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are included with the applicable brand.</w:t>
      </w:r>
    </w:p>
    <w:p>
      <w:pPr>
        <w:spacing w:after="0" w:line="114"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 xml:space="preserve">The Company also reports “Other” and “Corporate” categories. Other consists of </w:t>
      </w:r>
      <w:r>
        <w:rPr>
          <w:rFonts w:ascii="Times New Roman" w:cs="Times New Roman" w:eastAsia="Times New Roman" w:hAnsi="Times New Roman"/>
          <w:sz w:val="18"/>
          <w:szCs w:val="18"/>
          <w:i w:val="1"/>
          <w:iCs w:val="1"/>
          <w:color w:val="auto"/>
        </w:rPr>
        <w:t>Sperry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footwear, </w:t>
      </w:r>
      <w:r>
        <w:rPr>
          <w:rFonts w:ascii="Times New Roman" w:cs="Times New Roman" w:eastAsia="Times New Roman" w:hAnsi="Times New Roman"/>
          <w:sz w:val="18"/>
          <w:szCs w:val="18"/>
          <w:i w:val="1"/>
          <w:iCs w:val="1"/>
          <w:color w:val="auto"/>
        </w:rPr>
        <w:t>Keds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footwear, </w:t>
      </w:r>
      <w:r>
        <w:rPr>
          <w:rFonts w:ascii="Times New Roman" w:cs="Times New Roman" w:eastAsia="Times New Roman" w:hAnsi="Times New Roman"/>
          <w:sz w:val="18"/>
          <w:szCs w:val="18"/>
          <w:i w:val="1"/>
          <w:iCs w:val="1"/>
          <w:color w:val="auto"/>
        </w:rPr>
        <w:t>Hush Puppies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footwear and apparel, the Company’s leather marketing operations, sourcing operations that include third-party commission revenues, multi-branded direct-to-consumer retail stores and the </w:t>
      </w:r>
      <w:r>
        <w:rPr>
          <w:rFonts w:ascii="Times New Roman" w:cs="Times New Roman" w:eastAsia="Times New Roman" w:hAnsi="Times New Roman"/>
          <w:sz w:val="18"/>
          <w:szCs w:val="18"/>
          <w:i w:val="1"/>
          <w:iCs w:val="1"/>
          <w:color w:val="auto"/>
        </w:rPr>
        <w:t>Stride Rite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licensed business. The Corporate category consists of gains on the sale of businesses and trademarks, unallocated corporate expenses, such as corporate employee costs, corporate facility costs, reorganization activities, impairment of long-lived assets and environmental and other related costs.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reportable segments are engaged in designing, manufacturing, sourcing, marketing, licensing and distributing branded footwear, apparel and accessories. Revenue for the reportable segments includes revenue from the sale of branded footwear, apparel and accessories to third-party customers; revenue from third-party licensees and distributors; and revenue from the Company’s direct-to-consumer businesses. The Company’s reportable segments are determined based on how the Company internally reports and evaluates financial information used to make operating decisions.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Company management uses various financial measures to evaluate the performance of the reportable segments. The following is a summary of certain key financial measures for the respective fiscal periods indicated. The significant expense categories and amounts align with the segment-level information that is regularly provided to the Company's chief operating decision maker.</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center"/>
              <w:ind w:right="214"/>
              <w:spacing w:after="0"/>
              <w:rPr>
                <w:sz w:val="20"/>
                <w:szCs w:val="20"/>
                <w:color w:val="auto"/>
              </w:rPr>
            </w:pPr>
            <w:r>
              <w:rPr>
                <w:rFonts w:ascii="Times New Roman" w:cs="Times New Roman" w:eastAsia="Times New Roman" w:hAnsi="Times New Roman"/>
                <w:sz w:val="14"/>
                <w:szCs w:val="14"/>
                <w:color w:val="auto"/>
                <w:w w:val="99"/>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Active Group</w:t>
            </w:r>
          </w:p>
        </w:tc>
        <w:tc>
          <w:tcPr>
            <w:tcW w:w="200" w:type="dxa"/>
            <w:vAlign w:val="bottom"/>
          </w:tcPr>
          <w:p>
            <w:pPr>
              <w:spacing w:after="0"/>
              <w:rPr>
                <w:sz w:val="12"/>
                <w:szCs w:val="12"/>
                <w:color w:val="auto"/>
              </w:rPr>
            </w:pPr>
          </w:p>
        </w:tc>
        <w:tc>
          <w:tcPr>
            <w:tcW w:w="122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color w:val="auto"/>
              </w:rPr>
              <w:t>Work Group</w:t>
            </w:r>
          </w:p>
        </w:tc>
        <w:tc>
          <w:tcPr>
            <w:tcW w:w="300" w:type="dxa"/>
            <w:vAlign w:val="bottom"/>
          </w:tcPr>
          <w:p>
            <w:pPr>
              <w:spacing w:after="0"/>
              <w:rPr>
                <w:sz w:val="12"/>
                <w:szCs w:val="12"/>
                <w:color w:val="auto"/>
              </w:rPr>
            </w:pPr>
          </w:p>
        </w:tc>
        <w:tc>
          <w:tcPr>
            <w:tcW w:w="1120" w:type="dxa"/>
            <w:vAlign w:val="bottom"/>
            <w:gridSpan w:val="2"/>
          </w:tcPr>
          <w:p>
            <w:pPr>
              <w:jc w:val="center"/>
              <w:ind w:right="400"/>
              <w:spacing w:after="0" w:line="142" w:lineRule="exact"/>
              <w:rPr>
                <w:sz w:val="20"/>
                <w:szCs w:val="20"/>
                <w:color w:val="auto"/>
              </w:rPr>
            </w:pPr>
            <w:r>
              <w:rPr>
                <w:rFonts w:ascii="Times New Roman" w:cs="Times New Roman" w:eastAsia="Times New Roman" w:hAnsi="Times New Roman"/>
                <w:sz w:val="14"/>
                <w:szCs w:val="14"/>
                <w:color w:val="auto"/>
              </w:rPr>
              <w:t>Other</w:t>
            </w:r>
          </w:p>
        </w:tc>
        <w:tc>
          <w:tcPr>
            <w:tcW w:w="240" w:type="dxa"/>
            <w:vAlign w:val="bottom"/>
          </w:tcPr>
          <w:p>
            <w:pPr>
              <w:spacing w:after="0"/>
              <w:rPr>
                <w:sz w:val="12"/>
                <w:szCs w:val="12"/>
                <w:color w:val="auto"/>
              </w:rPr>
            </w:pPr>
          </w:p>
        </w:tc>
        <w:tc>
          <w:tcPr>
            <w:tcW w:w="118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color w:val="auto"/>
              </w:rPr>
              <w:t>Corporate</w:t>
            </w:r>
          </w:p>
        </w:tc>
        <w:tc>
          <w:tcPr>
            <w:tcW w:w="300" w:type="dxa"/>
            <w:vAlign w:val="bottom"/>
          </w:tcPr>
          <w:p>
            <w:pPr>
              <w:spacing w:after="0"/>
              <w:rPr>
                <w:sz w:val="12"/>
                <w:szCs w:val="12"/>
                <w:color w:val="auto"/>
              </w:rPr>
            </w:pPr>
          </w:p>
        </w:tc>
        <w:tc>
          <w:tcPr>
            <w:tcW w:w="1020" w:type="dxa"/>
            <w:vAlign w:val="bottom"/>
          </w:tcPr>
          <w:p>
            <w:pPr>
              <w:jc w:val="right"/>
              <w:ind w:right="432"/>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2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424.6</w:t>
            </w: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center"/>
              <w:ind w:right="214"/>
              <w:spacing w:after="0"/>
              <w:rPr>
                <w:sz w:val="20"/>
                <w:szCs w:val="20"/>
                <w:color w:val="auto"/>
              </w:rPr>
            </w:pPr>
            <w:r>
              <w:rPr>
                <w:rFonts w:ascii="Times New Roman" w:cs="Times New Roman" w:eastAsia="Times New Roman" w:hAnsi="Times New Roman"/>
                <w:sz w:val="14"/>
                <w:szCs w:val="14"/>
                <w:color w:val="auto"/>
                <w:w w:val="99"/>
              </w:rPr>
              <w:t>2023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Active Group</w:t>
            </w:r>
          </w:p>
        </w:tc>
        <w:tc>
          <w:tcPr>
            <w:tcW w:w="200" w:type="dxa"/>
            <w:vAlign w:val="bottom"/>
          </w:tcPr>
          <w:p>
            <w:pPr>
              <w:spacing w:after="0"/>
              <w:rPr>
                <w:sz w:val="12"/>
                <w:szCs w:val="12"/>
                <w:color w:val="auto"/>
              </w:rPr>
            </w:pPr>
          </w:p>
        </w:tc>
        <w:tc>
          <w:tcPr>
            <w:tcW w:w="122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color w:val="auto"/>
              </w:rPr>
              <w:t>Work Group</w:t>
            </w:r>
          </w:p>
        </w:tc>
        <w:tc>
          <w:tcPr>
            <w:tcW w:w="300" w:type="dxa"/>
            <w:vAlign w:val="bottom"/>
          </w:tcPr>
          <w:p>
            <w:pPr>
              <w:spacing w:after="0"/>
              <w:rPr>
                <w:sz w:val="12"/>
                <w:szCs w:val="12"/>
                <w:color w:val="auto"/>
              </w:rPr>
            </w:pPr>
          </w:p>
        </w:tc>
        <w:tc>
          <w:tcPr>
            <w:tcW w:w="1120" w:type="dxa"/>
            <w:vAlign w:val="bottom"/>
            <w:gridSpan w:val="2"/>
          </w:tcPr>
          <w:p>
            <w:pPr>
              <w:jc w:val="center"/>
              <w:ind w:right="400"/>
              <w:spacing w:after="0" w:line="142" w:lineRule="exact"/>
              <w:rPr>
                <w:sz w:val="20"/>
                <w:szCs w:val="20"/>
                <w:color w:val="auto"/>
              </w:rPr>
            </w:pPr>
            <w:r>
              <w:rPr>
                <w:rFonts w:ascii="Times New Roman" w:cs="Times New Roman" w:eastAsia="Times New Roman" w:hAnsi="Times New Roman"/>
                <w:sz w:val="14"/>
                <w:szCs w:val="14"/>
                <w:color w:val="auto"/>
              </w:rPr>
              <w:t>Other</w:t>
            </w:r>
          </w:p>
        </w:tc>
        <w:tc>
          <w:tcPr>
            <w:tcW w:w="240" w:type="dxa"/>
            <w:vAlign w:val="bottom"/>
          </w:tcPr>
          <w:p>
            <w:pPr>
              <w:spacing w:after="0"/>
              <w:rPr>
                <w:sz w:val="12"/>
                <w:szCs w:val="12"/>
                <w:color w:val="auto"/>
              </w:rPr>
            </w:pPr>
          </w:p>
        </w:tc>
        <w:tc>
          <w:tcPr>
            <w:tcW w:w="118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color w:val="auto"/>
              </w:rPr>
              <w:t>Corporate</w:t>
            </w:r>
          </w:p>
        </w:tc>
        <w:tc>
          <w:tcPr>
            <w:tcW w:w="300" w:type="dxa"/>
            <w:vAlign w:val="bottom"/>
          </w:tcPr>
          <w:p>
            <w:pPr>
              <w:spacing w:after="0"/>
              <w:rPr>
                <w:sz w:val="12"/>
                <w:szCs w:val="12"/>
                <w:color w:val="auto"/>
              </w:rPr>
            </w:pPr>
          </w:p>
        </w:tc>
        <w:tc>
          <w:tcPr>
            <w:tcW w:w="1020" w:type="dxa"/>
            <w:vAlign w:val="bottom"/>
          </w:tcPr>
          <w:p>
            <w:pPr>
              <w:jc w:val="right"/>
              <w:ind w:right="432"/>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2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2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427.1</w:t>
            </w:r>
          </w:p>
        </w:tc>
        <w:tc>
          <w:tcPr>
            <w:tcW w:w="0" w:type="dxa"/>
            <w:vAlign w:val="bottom"/>
          </w:tcPr>
          <w:p>
            <w:pPr>
              <w:spacing w:after="0"/>
              <w:rPr>
                <w:sz w:val="1"/>
                <w:szCs w:val="1"/>
                <w:color w:val="auto"/>
              </w:rPr>
            </w:pPr>
          </w:p>
        </w:tc>
      </w:tr>
      <w:tr>
        <w:trPr>
          <w:trHeight w:val="444"/>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center"/>
              <w:ind w:right="214"/>
              <w:spacing w:after="0"/>
              <w:rPr>
                <w:sz w:val="20"/>
                <w:szCs w:val="20"/>
                <w:color w:val="auto"/>
              </w:rPr>
            </w:pPr>
            <w:r>
              <w:rPr>
                <w:rFonts w:ascii="Times New Roman" w:cs="Times New Roman" w:eastAsia="Times New Roman" w:hAnsi="Times New Roman"/>
                <w:sz w:val="14"/>
                <w:szCs w:val="14"/>
                <w:color w:val="auto"/>
                <w:w w:val="99"/>
              </w:rPr>
              <w:t>2022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Active Group</w:t>
            </w:r>
          </w:p>
        </w:tc>
        <w:tc>
          <w:tcPr>
            <w:tcW w:w="200" w:type="dxa"/>
            <w:vAlign w:val="bottom"/>
          </w:tcPr>
          <w:p>
            <w:pPr>
              <w:spacing w:after="0"/>
              <w:rPr>
                <w:sz w:val="12"/>
                <w:szCs w:val="12"/>
                <w:color w:val="auto"/>
              </w:rPr>
            </w:pPr>
          </w:p>
        </w:tc>
        <w:tc>
          <w:tcPr>
            <w:tcW w:w="122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color w:val="auto"/>
              </w:rPr>
              <w:t>Work Group</w:t>
            </w:r>
          </w:p>
        </w:tc>
        <w:tc>
          <w:tcPr>
            <w:tcW w:w="300" w:type="dxa"/>
            <w:vAlign w:val="bottom"/>
          </w:tcPr>
          <w:p>
            <w:pPr>
              <w:spacing w:after="0"/>
              <w:rPr>
                <w:sz w:val="12"/>
                <w:szCs w:val="12"/>
                <w:color w:val="auto"/>
              </w:rPr>
            </w:pPr>
          </w:p>
        </w:tc>
        <w:tc>
          <w:tcPr>
            <w:tcW w:w="1120" w:type="dxa"/>
            <w:vAlign w:val="bottom"/>
            <w:gridSpan w:val="2"/>
          </w:tcPr>
          <w:p>
            <w:pPr>
              <w:jc w:val="center"/>
              <w:ind w:right="400"/>
              <w:spacing w:after="0" w:line="142" w:lineRule="exact"/>
              <w:rPr>
                <w:sz w:val="20"/>
                <w:szCs w:val="20"/>
                <w:color w:val="auto"/>
              </w:rPr>
            </w:pPr>
            <w:r>
              <w:rPr>
                <w:rFonts w:ascii="Times New Roman" w:cs="Times New Roman" w:eastAsia="Times New Roman" w:hAnsi="Times New Roman"/>
                <w:sz w:val="14"/>
                <w:szCs w:val="14"/>
                <w:color w:val="auto"/>
              </w:rPr>
              <w:t>Other</w:t>
            </w:r>
          </w:p>
        </w:tc>
        <w:tc>
          <w:tcPr>
            <w:tcW w:w="240" w:type="dxa"/>
            <w:vAlign w:val="bottom"/>
          </w:tcPr>
          <w:p>
            <w:pPr>
              <w:spacing w:after="0"/>
              <w:rPr>
                <w:sz w:val="12"/>
                <w:szCs w:val="12"/>
                <w:color w:val="auto"/>
              </w:rPr>
            </w:pPr>
          </w:p>
        </w:tc>
        <w:tc>
          <w:tcPr>
            <w:tcW w:w="118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color w:val="auto"/>
              </w:rPr>
              <w:t>Corporate</w:t>
            </w:r>
          </w:p>
        </w:tc>
        <w:tc>
          <w:tcPr>
            <w:tcW w:w="300" w:type="dxa"/>
            <w:vAlign w:val="bottom"/>
          </w:tcPr>
          <w:p>
            <w:pPr>
              <w:spacing w:after="0"/>
              <w:rPr>
                <w:sz w:val="12"/>
                <w:szCs w:val="12"/>
                <w:color w:val="auto"/>
              </w:rPr>
            </w:pPr>
          </w:p>
        </w:tc>
        <w:tc>
          <w:tcPr>
            <w:tcW w:w="1020" w:type="dxa"/>
            <w:vAlign w:val="bottom"/>
          </w:tcPr>
          <w:p>
            <w:pPr>
              <w:jc w:val="right"/>
              <w:ind w:right="432"/>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Segment operating profit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2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2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auto"/>
        </w:rPr>
        <w:t>Geographic dispersion of revenue from external customers, based on shipping destination is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Fiscal Year</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ind w:right="492"/>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jc w:val="right"/>
              <w:ind w:right="494"/>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ind w:right="492"/>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Asia Pacific</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Canada</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6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Latin America</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from foreign territories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2,242.9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2,684.8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location of the Company’s tangible long-lived assets, which comprises property, plant and equipment and lease right-of-use assets, is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20" w:type="dxa"/>
            <w:vAlign w:val="bottom"/>
          </w:tcPr>
          <w:p>
            <w:pPr>
              <w:spacing w:after="0"/>
              <w:rPr>
                <w:sz w:val="13"/>
                <w:szCs w:val="13"/>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December 28,</w:t>
            </w:r>
          </w:p>
        </w:tc>
        <w:tc>
          <w:tcPr>
            <w:tcW w:w="220" w:type="dxa"/>
            <w:vAlign w:val="bottom"/>
          </w:tcPr>
          <w:p>
            <w:pPr>
              <w:spacing w:after="0"/>
              <w:rPr>
                <w:sz w:val="13"/>
                <w:szCs w:val="13"/>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December 30,</w:t>
            </w:r>
          </w:p>
        </w:tc>
        <w:tc>
          <w:tcPr>
            <w:tcW w:w="220" w:type="dxa"/>
            <w:vAlign w:val="bottom"/>
          </w:tcPr>
          <w:p>
            <w:pPr>
              <w:spacing w:after="0"/>
              <w:rPr>
                <w:sz w:val="13"/>
                <w:szCs w:val="13"/>
                <w:color w:val="auto"/>
              </w:rPr>
            </w:pPr>
          </w:p>
        </w:tc>
        <w:tc>
          <w:tcPr>
            <w:tcW w:w="1220" w:type="dxa"/>
            <w:vAlign w:val="bottom"/>
          </w:tcPr>
          <w:p>
            <w:pPr>
              <w:jc w:val="right"/>
              <w:ind w:right="237"/>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right"/>
              <w:ind w:right="497"/>
              <w:spacing w:after="0" w:line="125"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right"/>
              <w:ind w:right="497"/>
              <w:spacing w:after="0" w:line="125" w:lineRule="exact"/>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right"/>
              <w:ind w:right="497"/>
              <w:spacing w:after="0" w:line="125" w:lineRule="exact"/>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Foreign countries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does not believe that it is dependent upon any single customer because no customer accounts for more than 10% of consolidated revenue in any year.</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fiscal 2024, the Company sourced 100% of its footwear products and apparel and accessories from third-party suppliers, located primarily in the Asia Pacific region. While changes in suppliers could cause delays in manufacturing and a possible loss of sales, management believes that other suppliers could provide similar products on comparable terms.</w:t>
      </w:r>
    </w:p>
    <w:p>
      <w:pPr>
        <w:spacing w:after="0" w:line="172" w:lineRule="exact"/>
        <w:rPr>
          <w:sz w:val="20"/>
          <w:szCs w:val="20"/>
          <w:color w:val="auto"/>
        </w:rPr>
      </w:pPr>
    </w:p>
    <w:p>
      <w:pPr>
        <w:ind w:right="4680" w:firstLine="8"/>
        <w:spacing w:after="0" w:line="396" w:lineRule="auto"/>
        <w:tabs>
          <w:tab w:leader="none" w:pos="319"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VARIABLE INTEREST ENTITIES AND RELATED PARTY TRANSACTIONS Assets and Liabilities of Consolidated VIEs</w:t>
      </w:r>
    </w:p>
    <w:p>
      <w:pPr>
        <w:spacing w:after="0" w:line="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had joint ventures, which were divested effective January 1, 2024, that sourced and marketed the Company’s footwear and apparel products in China. Based upon the criteria set forth in FASB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the Company had determined two of the consolidated joint ventures were variable interest entities (VIEs) of which the Company was the primary beneficiary and, as a result, the Company consolidated these VIEs. The primary beneficiary determination was based on the relationship between the Company and the VIE, including contractual agreements between the Company and the VIE. The Company had determined that two of the VIEs that were consolidated met the criteria to be classified as held for sale as of year end 2023. Refer to Note 20, "Divestitures and Assets and Liabilities Held for Sale" for additional discussion.</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Specifically, the Company had the power to direct the activities that were considered most significant to the entities’ performance and the Company had the obligation to absorb losses and the right to receive benefits that were significant to the entities. The other equity holder’s interests were reflected in “net earnings (loss) attributable to noncontrolling interests” in the Consolidated Statement of Operations and “Noncontrolling interest” in the Consolidated Balance Sheets. Assets held by the VIEs were only available to settle obligations of the respective entities. Holders of liabilities of these VIEs did not have recourse to the Company.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these VIE’s assets and liabilities included in the Company’s consolidated 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060" w:type="dxa"/>
            <w:vAlign w:val="bottom"/>
          </w:tcPr>
          <w:p>
            <w:pPr>
              <w:spacing w:after="0"/>
              <w:rPr>
                <w:sz w:val="16"/>
                <w:szCs w:val="16"/>
                <w:color w:val="auto"/>
              </w:rPr>
            </w:pPr>
          </w:p>
        </w:tc>
        <w:tc>
          <w:tcPr>
            <w:tcW w:w="1440" w:type="dxa"/>
            <w:vAlign w:val="bottom"/>
          </w:tcPr>
          <w:p>
            <w:pPr>
              <w:jc w:val="right"/>
              <w:ind w:right="319"/>
              <w:spacing w:after="0"/>
              <w:rPr>
                <w:sz w:val="20"/>
                <w:szCs w:val="20"/>
                <w:color w:val="auto"/>
              </w:rPr>
            </w:pPr>
            <w:r>
              <w:rPr>
                <w:rFonts w:ascii="Times New Roman" w:cs="Times New Roman" w:eastAsia="Times New Roman" w:hAnsi="Times New Roman"/>
                <w:sz w:val="14"/>
                <w:szCs w:val="14"/>
                <w:color w:val="auto"/>
              </w:rPr>
              <w:t>Fiscal Year</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9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80" w:type="dxa"/>
            <w:vAlign w:val="bottom"/>
            <w:gridSpan w:val="2"/>
            <w:vMerge w:val="continue"/>
          </w:tcPr>
          <w:p>
            <w:pPr>
              <w:spacing w:after="0"/>
              <w:rPr>
                <w:sz w:val="12"/>
                <w:szCs w:val="12"/>
                <w:color w:val="auto"/>
              </w:rPr>
            </w:pPr>
          </w:p>
        </w:tc>
        <w:tc>
          <w:tcPr>
            <w:tcW w:w="1440" w:type="dxa"/>
            <w:vAlign w:val="bottom"/>
          </w:tcPr>
          <w:p>
            <w:pPr>
              <w:jc w:val="right"/>
              <w:ind w:right="499"/>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906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held for sale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 held for sale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Nonconsolidated VIEs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also had two joint ventures, which were divested effective January 1, 2024, that were VIEs that were not consolidated as the Company did not have the power to direct the most significant activities that impact the VIEs' economic</w:t>
      </w:r>
    </w:p>
    <w:p>
      <w:pPr>
        <w:sectPr>
          <w:pgSz w:w="11900" w:h="16838" w:orient="portrait"/>
          <w:cols w:equalWidth="0" w:num="1">
            <w:col w:w="11240"/>
          </w:cols>
          <w:pgMar w:left="320" w:top="95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type w:val="continuous"/>
        </w:sectPr>
      </w:pPr>
    </w:p>
    <w:bookmarkStart w:id="69" w:name="page70"/>
    <w:bookmarkEnd w:id="69"/>
    <w:p>
      <w:pPr>
        <w:jc w:val="both"/>
        <w:spacing w:after="0" w:line="266" w:lineRule="auto"/>
        <w:rPr>
          <w:sz w:val="20"/>
          <w:szCs w:val="20"/>
          <w:color w:val="auto"/>
        </w:rPr>
      </w:pPr>
      <w:r>
        <w:rPr>
          <w:rFonts w:ascii="Times New Roman" w:cs="Times New Roman" w:eastAsia="Times New Roman" w:hAnsi="Times New Roman"/>
          <w:sz w:val="18"/>
          <w:szCs w:val="18"/>
          <w:color w:val="auto"/>
        </w:rPr>
        <w:t>performance. The two VIEs distributed footwear and apparel products in the Asia Pacific region. The Company had determined that the VIEs that were not consolidated met the criteria to be classified as held for sale as of year-end fiscal 2023. Refer to Note 20, "Divestitures and Assets and Liabilities Held for Sale" for additional discussion.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the Company entered into transactions with related party equity affiliates. Related party transactions consisted of the sale of goods, made at arm’s length, and other arrangements. For the fiscal year ended December 30, 2023 the Company recognized net sales to equity affiliates totaling $66.5 million. For the fiscal year ended December 28, 2024, the Company did not recognize any sales to equity affiliates.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related party transactions included in the consolidated 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319"/>
              <w:spacing w:after="0"/>
              <w:rPr>
                <w:sz w:val="20"/>
                <w:szCs w:val="20"/>
                <w:color w:val="auto"/>
              </w:rPr>
            </w:pPr>
            <w:r>
              <w:rPr>
                <w:rFonts w:ascii="Times New Roman" w:cs="Times New Roman" w:eastAsia="Times New Roman" w:hAnsi="Times New Roman"/>
                <w:sz w:val="14"/>
                <w:szCs w:val="14"/>
                <w:color w:val="auto"/>
              </w:rPr>
              <w:t>Fiscal Year</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9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jc w:val="right"/>
              <w:ind w:right="499"/>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9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due from related parties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 term liabilities due to related parties</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bl>
    <w:p>
      <w:pPr>
        <w:spacing w:after="0" w:line="270" w:lineRule="exact"/>
        <w:rPr>
          <w:sz w:val="20"/>
          <w:szCs w:val="20"/>
          <w:color w:val="auto"/>
        </w:rPr>
      </w:pPr>
    </w:p>
    <w:p>
      <w:pPr>
        <w:ind w:right="5340" w:firstLine="8"/>
        <w:spacing w:after="0" w:line="440" w:lineRule="auto"/>
        <w:tabs>
          <w:tab w:leader="none" w:pos="319"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DIVESTITURES AND ASSETS AND LIABILITIES HELD FOR SALE Sale-Leaseback of Courtland Drive Facility</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17, 2024, the Company completed a sale and leaseback transaction with an independent third party for the land, building and related fixed assets of the Company’s Courtland Drive facility located in Rockford, Michigan for a sale price of $10.5 million. The independent third party leased back the facility to the Company under a seven-year lease agreement, which includes a five-year renewal option. The transaction qualifies for sales recognition under the sale leaseback accounting requirements, and the Company recorded a gain of $8.5 million in the third quarter of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Divestiture of Sperry</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Business</w:t>
      </w:r>
    </w:p>
    <w:p>
      <w:pPr>
        <w:spacing w:after="0" w:line="11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 xml:space="preserve">On January 10, 2024, the Company entered into a Purchase Agreement with ABG Intermediate Holdings 2 LLC, an affiliate of Authentic Brands Group LLC. (the "ABG Buyer"), pursuant to which the ABG Buyer agreed to purchase all of the outstanding equity of certain subsidiaries of the Company that own or hold for use intellectual property used by the Company exclusively in the footwear, apparel, and accessories business conducted by the Company under the </w:t>
      </w:r>
      <w:r>
        <w:rPr>
          <w:rFonts w:ascii="Times New Roman" w:cs="Times New Roman" w:eastAsia="Times New Roman" w:hAnsi="Times New Roman"/>
          <w:sz w:val="18"/>
          <w:szCs w:val="18"/>
          <w:i w:val="1"/>
          <w:iCs w:val="1"/>
          <w:color w:val="auto"/>
        </w:rPr>
        <w:t>Sperry</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brand. In addition, on January 10, 2024 the Company entered into an Inventory Purchase Agreement with Aldo U.S. Inc., an affiliate of the Aldo Group (the "Aldo Buyer"), pursuant to which the Aldo Buyer agreed to purchase certain inventory and other assets of the </w:t>
      </w:r>
      <w:r>
        <w:rPr>
          <w:rFonts w:ascii="Times New Roman" w:cs="Times New Roman" w:eastAsia="Times New Roman" w:hAnsi="Times New Roman"/>
          <w:sz w:val="18"/>
          <w:szCs w:val="18"/>
          <w:i w:val="1"/>
          <w:iCs w:val="1"/>
          <w:color w:val="auto"/>
        </w:rPr>
        <w:t>Sperry</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business, and to assume certain contracts of the </w:t>
      </w:r>
      <w:r>
        <w:rPr>
          <w:rFonts w:ascii="Times New Roman" w:cs="Times New Roman" w:eastAsia="Times New Roman" w:hAnsi="Times New Roman"/>
          <w:sz w:val="18"/>
          <w:szCs w:val="18"/>
          <w:i w:val="1"/>
          <w:iCs w:val="1"/>
          <w:color w:val="auto"/>
        </w:rPr>
        <w:t>Sperry</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business, including </w:t>
      </w:r>
      <w:r>
        <w:rPr>
          <w:rFonts w:ascii="Times New Roman" w:cs="Times New Roman" w:eastAsia="Times New Roman" w:hAnsi="Times New Roman"/>
          <w:sz w:val="18"/>
          <w:szCs w:val="18"/>
          <w:i w:val="1"/>
          <w:iCs w:val="1"/>
          <w:color w:val="auto"/>
        </w:rPr>
        <w:t>Sperry</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retail store leases. The sale was effective January 10, 2024, in accordance with the terms and conditions of the Purchase Agreement.</w:t>
      </w:r>
    </w:p>
    <w:p>
      <w:pPr>
        <w:spacing w:after="0" w:line="14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xml:space="preserve">The aggregate purchase price under these two purchase agreements was $97.4 million in cash. As of December 30, 2023, the Company recognized an impairment charge of $95.0 million which included $6.0 million for disposal costs. Also during fiscal 2023, the Company recorded an impairment charge of $11.0 million related to assets that will not convey as part of the </w:t>
      </w:r>
      <w:r>
        <w:rPr>
          <w:rFonts w:ascii="Times New Roman" w:cs="Times New Roman" w:eastAsia="Times New Roman" w:hAnsi="Times New Roman"/>
          <w:sz w:val="18"/>
          <w:szCs w:val="18"/>
          <w:i w:val="1"/>
          <w:iCs w:val="1"/>
          <w:color w:val="auto"/>
        </w:rPr>
        <w:t>Sperry</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sale transactions and are not expected to be used within the Company’s other businesses. These charges are reported within the impairment of long-lived assets line on the consolidated statements of operations. In determining the amount of the impairment loss for the assets of this transaction during the fourth quarter of 2023, the Company included $1.0 million of accumulated foreign currency translation gains, which were classified within accumulated other comprehensive income (“AOCI”).</w:t>
      </w:r>
    </w:p>
    <w:p>
      <w:pPr>
        <w:spacing w:after="0" w:line="140"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 xml:space="preserve">The Company determined that the divestiture of the </w:t>
      </w:r>
      <w:r>
        <w:rPr>
          <w:rFonts w:ascii="Times New Roman" w:cs="Times New Roman" w:eastAsia="Times New Roman" w:hAnsi="Times New Roman"/>
          <w:sz w:val="18"/>
          <w:szCs w:val="18"/>
          <w:i w:val="1"/>
          <w:iCs w:val="1"/>
          <w:color w:val="auto"/>
        </w:rPr>
        <w:t>Sperry</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business did not represent a strategic shift that had or will have a major effect on the consolidated results of operations, and therefore results of this business were not classified as discontinued operations.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Divestiture of Merrell</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and Saucony</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China Joint Venture Entities</w:t>
      </w:r>
    </w:p>
    <w:p>
      <w:pPr>
        <w:spacing w:after="0" w:line="11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 xml:space="preserve">On December 17, 2023, the Company and Xtep entered into a Purchase Agreement pursuant to which Xtep agreed to purchase the Company’s equity interests in the Merrell and Saucony joint venture entities that sourced and marketed </w:t>
      </w:r>
      <w:r>
        <w:rPr>
          <w:rFonts w:ascii="Times New Roman" w:cs="Times New Roman" w:eastAsia="Times New Roman" w:hAnsi="Times New Roman"/>
          <w:sz w:val="18"/>
          <w:szCs w:val="18"/>
          <w:i w:val="1"/>
          <w:iCs w:val="1"/>
          <w:color w:val="auto"/>
        </w:rPr>
        <w:t>Merrell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Saucony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footwear and apparel products in China (Saucony Brand Operations Ltd., Saucony Distribution Operations Ltd., Merrell Brand Operations Ltd. and Merrell Distribution Operations Ltd.), transitioning the business from a joint venture model to a license and distribution rights model under which Xtep will exclusively carry out the development, marketing and distribution of footwear, apparel and accessories for the Saucony and Merrell brands in China. The sale was effective January 1, 2024, in accordance with the terms and conditions of the Purchase Agreement and the purchase price was $22.0 million in cash. As of December 30, 2023, the Company recognized an impairment charge of $1.8 million. In determining the amount of the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0" w:name="page71"/>
    <w:bookmarkEnd w:id="7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impairment loss for the assets of this transaction during the fourth quarter of 2023, the Company included $0.8 million of accumulated foreign currency translation losses, which were classified within AOCI.</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Divestiture of Asia-based Leathers Business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14, 2023, the Company completed the sale of its Asia-based performance leathers business to Interhides Public Company Limited, a current materials vendor of the Company. The Company received $8.2 million in cash for the sale. The assets sold, which were included in the Other segment category, consist of $8.2 million in inventory.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Sale-Leaseback of Louisville Distribution Facility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28, 2023, the Company completed a sale and leaseback transaction with an independent third party for the land, building and related fixed assets of the Company's distribution center located in Louisville, Kentucky for a sale price of $23.5 million. The distribution center was leased back to the Company under a two-year lease agreement, which includes a one year renewal option. The transaction qualifies for sales recognition under the sale leaseback accounting requirements and the Company recorded a gain of $12.6 million in the fourth quarter of 2023.</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Divestiture of Hush Puppies</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intellectual property in China, Hong Kong, and Macau</w:t>
      </w:r>
    </w:p>
    <w:p>
      <w:pPr>
        <w:spacing w:after="0" w:line="11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xml:space="preserve">On September 1, 2023, the Company entered into an asset purchase agreement to sell the </w:t>
      </w:r>
      <w:r>
        <w:rPr>
          <w:rFonts w:ascii="Times New Roman" w:cs="Times New Roman" w:eastAsia="Times New Roman" w:hAnsi="Times New Roman"/>
          <w:sz w:val="18"/>
          <w:szCs w:val="18"/>
          <w:i w:val="1"/>
          <w:iCs w:val="1"/>
          <w:color w:val="auto"/>
        </w:rPr>
        <w:t>Hush Puppies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trademarks, patents, copyrights and domains in China, Hong Kong and Macau to its current sublicensee, Beijing Jiaman Dress Co., Ltd. for cash of $58.8 million and recognized a gain on sale of $55.8 million in the third quarter of 2023. The gain on sale is net of transaction related fees of $3.0 million. The transaction closed on September 14, 2023. The Company will continue to own the </w:t>
      </w:r>
      <w:r>
        <w:rPr>
          <w:rFonts w:ascii="Times New Roman" w:cs="Times New Roman" w:eastAsia="Times New Roman" w:hAnsi="Times New Roman"/>
          <w:sz w:val="18"/>
          <w:szCs w:val="18"/>
          <w:i w:val="1"/>
          <w:iCs w:val="1"/>
          <w:color w:val="auto"/>
        </w:rPr>
        <w:t>Hush Puppies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throughout the rest of the world.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Divestiture of U.S. Wolverine Leathers Business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23, 2023, the Company completed the sale of its U.S. Wolverine Leathers business to its long-time customer, New Balance. The Company received $4.0 million in cash for the sale and recognized a gain on sale of $1.9 million. The assets sold, which were included in the Other segment category, consist of $2.1 million in inventory.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Divestiture of Keds</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Business</w:t>
      </w:r>
    </w:p>
    <w:p>
      <w:pPr>
        <w:spacing w:after="0" w:line="11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 xml:space="preserve">On February 7, 2023 the Company entered into an Asset Purchase Agreement with Designer Brands, Inc. (the "Buyer") pursuant to which the Buyer agreed to purchase the global </w:t>
      </w:r>
      <w:r>
        <w:rPr>
          <w:rFonts w:ascii="Times New Roman" w:cs="Times New Roman" w:eastAsia="Times New Roman" w:hAnsi="Times New Roman"/>
          <w:sz w:val="18"/>
          <w:szCs w:val="18"/>
          <w:i w:val="1"/>
          <w:iCs w:val="1"/>
          <w:color w:val="auto"/>
        </w:rPr>
        <w:t>Keds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business. The sale was effective February 4, 2023, in accordance with the terms and conditions of the Asset Purchase Agreement.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net gain recognized in the first quarter of 2023 in connection with the divestiture:</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5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9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0"/>
        </w:trPr>
        <w:tc>
          <w:tcPr>
            <w:tcW w:w="20" w:type="dxa"/>
            <w:vAlign w:val="bottom"/>
            <w:shd w:val="clear" w:color="auto" w:fill="CCEEFF"/>
          </w:tcPr>
          <w:p>
            <w:pPr>
              <w:spacing w:after="0"/>
              <w:rPr>
                <w:sz w:val="19"/>
                <w:szCs w:val="19"/>
                <w:color w:val="auto"/>
              </w:rPr>
            </w:pPr>
          </w:p>
        </w:tc>
        <w:tc>
          <w:tcPr>
            <w:tcW w:w="9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proceeds</w:t>
            </w: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r>
      <w:tr>
        <w:trPr>
          <w:trHeight w:val="230"/>
        </w:trPr>
        <w:tc>
          <w:tcPr>
            <w:tcW w:w="2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assets disposed</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r>
      <w:tr>
        <w:trPr>
          <w:trHeight w:val="230"/>
        </w:trPr>
        <w:tc>
          <w:tcPr>
            <w:tcW w:w="20" w:type="dxa"/>
            <w:vAlign w:val="bottom"/>
            <w:shd w:val="clear" w:color="auto" w:fill="CCEEFF"/>
          </w:tcPr>
          <w:p>
            <w:pPr>
              <w:spacing w:after="0"/>
              <w:rPr>
                <w:sz w:val="19"/>
                <w:szCs w:val="19"/>
                <w:color w:val="auto"/>
              </w:rPr>
            </w:pPr>
          </w:p>
        </w:tc>
        <w:tc>
          <w:tcPr>
            <w:tcW w:w="9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costs to sell</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20" w:type="dxa"/>
            <w:vAlign w:val="bottom"/>
            <w:tcBorders>
              <w:bottom w:val="single" w:sz="8" w:color="CCEEFF"/>
            </w:tcBorders>
          </w:tcPr>
          <w:p>
            <w:pPr>
              <w:spacing w:after="0"/>
              <w:rPr>
                <w:sz w:val="19"/>
                <w:szCs w:val="19"/>
                <w:color w:val="auto"/>
              </w:rPr>
            </w:pPr>
          </w:p>
        </w:tc>
        <w:tc>
          <w:tcPr>
            <w:tcW w:w="9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AOCI reclassification adjustment, foreign currency translation</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7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 on sale of business</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90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 xml:space="preserve">The Company determined that the divestiture of the </w:t>
      </w:r>
      <w:r>
        <w:rPr>
          <w:rFonts w:ascii="Times New Roman" w:cs="Times New Roman" w:eastAsia="Times New Roman" w:hAnsi="Times New Roman"/>
          <w:sz w:val="18"/>
          <w:szCs w:val="18"/>
          <w:i w:val="1"/>
          <w:iCs w:val="1"/>
          <w:color w:val="auto"/>
        </w:rPr>
        <w:t>Keds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business did not represent a strategic shift that had or will have a major effect on the Consolidated Results of Operations, and therefore results were not classified as discontinued operations. The proceeds from the sales were used to reduce outstanding revolver borrowings.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Held for Sale</w:t>
      </w:r>
    </w:p>
    <w:p>
      <w:pPr>
        <w:spacing w:after="0" w:line="173"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Sperry</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business and the </w:t>
      </w:r>
      <w:r>
        <w:rPr>
          <w:rFonts w:ascii="Times New Roman" w:cs="Times New Roman" w:eastAsia="Times New Roman" w:hAnsi="Times New Roman"/>
          <w:sz w:val="18"/>
          <w:szCs w:val="18"/>
          <w:i w:val="1"/>
          <w:iCs w:val="1"/>
          <w:color w:val="auto"/>
        </w:rPr>
        <w:t>Merrell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Saucony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China joint venture entities met the criteria to be classified as held for sale as of December 30, 2023, and therefore the Company reclassified the related assets and liabilities as held for sale on the consolidated balance sheets as of December 30, 2023.</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t>The following is a summary of the major categories of assets and liabilities that have been classified as held for sale on the consolidated balance sheets:</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9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9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2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receivables,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29"/>
        </w:trPr>
        <w:tc>
          <w:tcPr>
            <w:tcW w:w="20" w:type="dxa"/>
            <w:vAlign w:val="bottom"/>
            <w:shd w:val="clear" w:color="auto" w:fill="CCEEFF"/>
          </w:tcPr>
          <w:p>
            <w:pPr>
              <w:spacing w:after="0"/>
              <w:rPr>
                <w:sz w:val="19"/>
                <w:szCs w:val="19"/>
                <w:color w:val="auto"/>
              </w:rPr>
            </w:pPr>
          </w:p>
        </w:tc>
        <w:tc>
          <w:tcPr>
            <w:tcW w:w="9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r>
      <w:tr>
        <w:trPr>
          <w:trHeight w:val="230"/>
        </w:trPr>
        <w:tc>
          <w:tcPr>
            <w:tcW w:w="2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20" w:type="dxa"/>
            <w:vAlign w:val="bottom"/>
            <w:shd w:val="clear" w:color="auto" w:fill="CCEEFF"/>
          </w:tcPr>
          <w:p>
            <w:pPr>
              <w:spacing w:after="0"/>
              <w:rPr>
                <w:sz w:val="19"/>
                <w:szCs w:val="19"/>
                <w:color w:val="auto"/>
              </w:rPr>
            </w:pPr>
          </w:p>
        </w:tc>
        <w:tc>
          <w:tcPr>
            <w:tcW w:w="9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2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right-of-use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0"/>
        </w:trPr>
        <w:tc>
          <w:tcPr>
            <w:tcW w:w="20" w:type="dxa"/>
            <w:vAlign w:val="bottom"/>
            <w:shd w:val="clear" w:color="auto" w:fill="CCEEFF"/>
          </w:tcPr>
          <w:p>
            <w:pPr>
              <w:spacing w:after="0"/>
              <w:rPr>
                <w:sz w:val="19"/>
                <w:szCs w:val="19"/>
                <w:color w:val="auto"/>
              </w:rPr>
            </w:pPr>
          </w:p>
        </w:tc>
        <w:tc>
          <w:tcPr>
            <w:tcW w:w="9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29"/>
        </w:trPr>
        <w:tc>
          <w:tcPr>
            <w:tcW w:w="2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Indefinite-lived intangibles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r>
      <w:tr>
        <w:trPr>
          <w:trHeight w:val="229"/>
        </w:trPr>
        <w:tc>
          <w:tcPr>
            <w:tcW w:w="20" w:type="dxa"/>
            <w:vAlign w:val="bottom"/>
            <w:shd w:val="clear" w:color="auto" w:fill="CCEEFF"/>
          </w:tcPr>
          <w:p>
            <w:pPr>
              <w:spacing w:after="0"/>
              <w:rPr>
                <w:sz w:val="19"/>
                <w:szCs w:val="19"/>
                <w:color w:val="auto"/>
              </w:rPr>
            </w:pPr>
          </w:p>
        </w:tc>
        <w:tc>
          <w:tcPr>
            <w:tcW w:w="9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Amortizable intangibles,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30"/>
        </w:trPr>
        <w:tc>
          <w:tcPr>
            <w:tcW w:w="2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9"/>
        </w:trPr>
        <w:tc>
          <w:tcPr>
            <w:tcW w:w="20" w:type="dxa"/>
            <w:vAlign w:val="bottom"/>
            <w:shd w:val="clear" w:color="auto" w:fill="CCEEFF"/>
          </w:tcPr>
          <w:p>
            <w:pPr>
              <w:spacing w:after="0"/>
              <w:rPr>
                <w:sz w:val="19"/>
                <w:szCs w:val="19"/>
                <w:color w:val="auto"/>
              </w:rPr>
            </w:pPr>
          </w:p>
        </w:tc>
        <w:tc>
          <w:tcPr>
            <w:tcW w:w="9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carrying value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r>
      <w:tr>
        <w:trPr>
          <w:trHeight w:val="223"/>
        </w:trPr>
        <w:tc>
          <w:tcPr>
            <w:tcW w:w="20" w:type="dxa"/>
            <w:vAlign w:val="bottom"/>
          </w:tcPr>
          <w:p>
            <w:pPr>
              <w:spacing w:after="0"/>
              <w:rPr>
                <w:sz w:val="19"/>
                <w:szCs w:val="19"/>
                <w:color w:val="auto"/>
              </w:rPr>
            </w:pPr>
          </w:p>
        </w:tc>
        <w:tc>
          <w:tcPr>
            <w:tcW w:w="9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assets held for sale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90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15"/>
        </w:trPr>
        <w:tc>
          <w:tcPr>
            <w:tcW w:w="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90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r>
      <w:tr>
        <w:trPr>
          <w:trHeight w:val="230"/>
        </w:trPr>
        <w:tc>
          <w:tcPr>
            <w:tcW w:w="2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9"/>
        </w:trPr>
        <w:tc>
          <w:tcPr>
            <w:tcW w:w="20" w:type="dxa"/>
            <w:vAlign w:val="bottom"/>
            <w:shd w:val="clear" w:color="auto" w:fill="CCEEFF"/>
          </w:tcPr>
          <w:p>
            <w:pPr>
              <w:spacing w:after="0"/>
              <w:rPr>
                <w:sz w:val="19"/>
                <w:szCs w:val="19"/>
                <w:color w:val="auto"/>
              </w:rPr>
            </w:pPr>
          </w:p>
        </w:tc>
        <w:tc>
          <w:tcPr>
            <w:tcW w:w="9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0"/>
        </w:trPr>
        <w:tc>
          <w:tcPr>
            <w:tcW w:w="2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29"/>
        </w:trPr>
        <w:tc>
          <w:tcPr>
            <w:tcW w:w="20" w:type="dxa"/>
            <w:vAlign w:val="bottom"/>
            <w:shd w:val="clear" w:color="auto" w:fill="CCEEFF"/>
          </w:tcPr>
          <w:p>
            <w:pPr>
              <w:spacing w:after="0"/>
              <w:rPr>
                <w:sz w:val="19"/>
                <w:szCs w:val="19"/>
                <w:color w:val="auto"/>
              </w:rPr>
            </w:pPr>
          </w:p>
        </w:tc>
        <w:tc>
          <w:tcPr>
            <w:tcW w:w="9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20" w:type="dxa"/>
            <w:vAlign w:val="bottom"/>
          </w:tcPr>
          <w:p>
            <w:pPr>
              <w:spacing w:after="0"/>
              <w:rPr>
                <w:sz w:val="19"/>
                <w:szCs w:val="19"/>
                <w:color w:val="auto"/>
              </w:rPr>
            </w:pPr>
          </w:p>
        </w:tc>
        <w:tc>
          <w:tcPr>
            <w:tcW w:w="9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liabilities held for sale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1"/>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72" w:name="page73"/>
    <w:bookmarkEnd w:id="72"/>
    <w:p>
      <w:pPr>
        <w:ind w:right="3360" w:firstLine="3364"/>
        <w:spacing w:after="0" w:line="474"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Shareholders and the Board of Directors of Wolverine World Wide,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Wolverine World Wide, Inc. and subsidiaries (the Company) as of December 28, 2024 and December 30, 2023, the related consolidated statements of operations, comprehensive income (loss), stockholders' equity and cash flows for each of the fiscal years ended December 28, 2024, December 30, 2023, and December 31, 2022, and the related notes and financial statement schedule listed in the Index at Item 15(a)(2) (collectively referred to as the “consolidated financial statements”). In our opinion, the consolidated financial statements present fairly, in all material respects, the financial position of the Company at December 28, 2024 and December 30, 2023, and the results of its operations and its cash flows for the fiscal years ended December 28, 2024, December 30, 2023, and December 31, 2022, in conformity with U.S. generally accepted accounting principles.</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28, 2024, based on criteria established in Internal Control-Integrated Framework issued by the Committee of Sponsoring Organizations of the Treadway Commission (2013 framework), and our report dated February 20, 2025 expressed an unqualified opinion thereon.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73" w:name="page74"/>
    <w:bookmarkEnd w:id="73"/>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
        <w:spacing w:after="0" w:line="238" w:lineRule="auto"/>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goodwill and indefinite-lived intangibles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December 28, 2024, the carrying values of the Company’s Sweaty Betty trade name indefinite-lived intangible asset and the Sweaty Betty reporting unit goodwill were $98.4 million and $52.4 million, respectively. As discussed in Notes 1 and 4 to the consolidated financial statements, goodwill and indefinite-lived intangibles are tested for impairment at least annually. The impairment test for goodwill consists of measuring the fair value of the reporting unit and comparing it to the reporting unit’s carrying amount. The impairment test for indefinite-lived intangible assets consists of measuring the fair value of the asset and comparing it to the asset’s carrying amount.</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Auditing management’s annual impairment tests for goodwill and indefinite-lived intangible assets was complex due to the significant estimation uncertainty required in determining the fair values of the Sweaty Betty reporting unit and the Sweaty Betty trade name indefinite-lived intangible asset. The significant assumptions used to estimate the fair values of the Sweaty Betty reporting unit and the Sweaty Betty trade name indefinite-lived intangible asset included the forecasted revenue growth, EBITDA margin, and discount rate. These significant assumptions are forward-looking and could be affected by future economic and market conditions. Changes in these assumptions could have a significant impact on the fair values of the Sweaty Betty reporting unit and the Sweaty Betty trade name indefinite-lived intangible asset, the amount of any impairment charge, or both.</w:t>
      </w:r>
    </w:p>
    <w:p>
      <w:pPr>
        <w:spacing w:after="0" w:line="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the Company’s controls over the impairment review process. For example, we tested controls that address the risk of material misstatement relating to the valuation of the Sweaty Betty reporting unit and the Sweaty Betty trade name indefinite-lived intangible asset, including management’s review of the significant assumptions described above and the completeness and accuracy of the data used to develop such estimates.</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test the estimated fair values of the Sweaty Betty reporting unit and the Sweaty Betty trade name indefinite-lived intangible asset, our audit procedures included, among others, assessing the appropriateness of the valuation model used, evaluating the significant assumptions discussed above, and evaluating the completeness and accuracy of the underlying data supporting the significant assumptions and estimates. We compared the financial projections to current industry and economic trends and the historical accuracy of management’s estimates. We involved our valuation specialists to assist in our evaluation of the Company's model, valuation methodology and the discount rate.</w:t>
      </w:r>
    </w:p>
    <w:p>
      <w:pPr>
        <w:spacing w:after="0" w:line="200" w:lineRule="exact"/>
        <w:rPr>
          <w:sz w:val="20"/>
          <w:szCs w:val="20"/>
          <w:color w:val="auto"/>
        </w:rPr>
      </w:pPr>
    </w:p>
    <w:p>
      <w:pPr>
        <w:sectPr>
          <w:pgSz w:w="11900" w:h="16838" w:orient="portrait"/>
          <w:cols w:equalWidth="0" w:num="2">
            <w:col w:w="2220" w:space="200"/>
            <w:col w:w="8320"/>
          </w:cols>
          <w:pgMar w:left="320" w:top="927" w:right="839" w:bottom="1440" w:gutter="0" w:footer="0" w:header="0"/>
        </w:sect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at least 1933, but we are unable to determine the specific year.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 Rapids, Michigan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2025</w:t>
      </w:r>
    </w:p>
    <w:p>
      <w:pPr>
        <w:spacing w:after="0" w:line="200" w:lineRule="exact"/>
        <w:rPr>
          <w:sz w:val="20"/>
          <w:szCs w:val="20"/>
          <w:color w:val="auto"/>
        </w:rPr>
      </w:pPr>
    </w:p>
    <w:p>
      <w:pPr>
        <w:spacing w:after="0" w:line="344"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927" w:right="839" w:bottom="1440" w:gutter="0" w:footer="0" w:header="0"/>
          <w:type w:val="continuous"/>
        </w:sectPr>
      </w:pPr>
    </w:p>
    <w:bookmarkStart w:id="74" w:name="page75"/>
    <w:bookmarkEnd w:id="74"/>
    <w:p>
      <w:pPr>
        <w:ind w:right="3360" w:firstLine="3364"/>
        <w:spacing w:after="0" w:line="474"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Shareholders and the Board of Directors of Wolverine World Wide,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31"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We have audited Wolverine World Wide, Inc. and subsidiaries’ internal control over financial reporting as of December 28, 2024, based on criteria established in Internal Control—Integrated Framework issued by the Committee of Sponsoring Organizations of the Treadway Commission (2013 framework) (the COSO criteria). In our opinion, Wolverine World Wide, Inc. and subsidiaries (the Company) maintained, in all material respects, effective internal control over financial reporting as of December 28, 2024, based on the COSO criteria.</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28, 2024 and December 30, 2023, the related consolidated statements of operations, comprehensive income (loss), stockholders’ equity and cash flows for each of the fiscal years ended December 28, 2024, December 30, 2023, and December 31, 2022, and the related notes and financial statement schedule listed in the Index at Item 15(a)(2) and our report dated February 20, 2025 expressed an unqualified opinion thereon.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 Rapids, Michigan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2025</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5" w:name="page76"/>
    <w:bookmarkEnd w:id="75"/>
    <w:p>
      <w:pPr>
        <w:ind w:right="3620"/>
        <w:spacing w:after="0" w:line="396"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evaluation was performed under the supervision, and with the participation, of the Company’s management, including the Chief Executive Officer and Chief Financial Officer, of the effectiveness of the design and operation of the Company’s disclosure controls and procedures. Based on and as of the time of such evaluation, the Company’s management, including the Chief Executive Officer and Chief Financial Officer, concluded that the Company’s disclosure controls and procedures were effective as of the end of the period covered by this Annual Report on Form 10-K.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such term is defined in Securities Exchange Act Rule 13a-15(f). Under the supervision and with the participation of management, including the Chief Executive Officer and Chief Financial Officer, the Company conducted an evaluation of the effectiveness of internal control over financial reporting as of December 28, 2024, based on the criteria set forth by the Committee of Sponsoring Organizations of the Treadway Commission in Internal Control - Integrated Framework (2013 framework). Based on that evaluation, management, including the Chief Executive Officer and Chief Financial Officer, concluded that internal control over financial reporting was effective as of December 28, 2024.</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28, 2024 has been audited by Ernst &amp; Young LLP, an independent registered public accounting firm, as stated in its report, which is included in Item 8 of this Annual Report on Form 10-K and is incorporated herein by reference.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was no change in the Company’s internal control over financial reporting that occurred during the quarter ended December 28, 2024 that has materially affected, or that is reasonably likely to materially affect, the Company’s internal control over financial reporting.</w:t>
      </w:r>
    </w:p>
    <w:p>
      <w:pPr>
        <w:spacing w:after="0" w:line="10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tab/>
        <w:t>Other Information</w:t>
      </w:r>
    </w:p>
    <w:p>
      <w:pPr>
        <w:spacing w:after="0" w:line="108" w:lineRule="exact"/>
        <w:rPr>
          <w:sz w:val="20"/>
          <w:szCs w:val="20"/>
          <w:color w:val="auto"/>
        </w:rPr>
      </w:pPr>
    </w:p>
    <w:p>
      <w:pPr>
        <w:ind w:right="880" w:firstLine="8"/>
        <w:spacing w:after="0" w:line="282" w:lineRule="auto"/>
        <w:tabs>
          <w:tab w:leader="none" w:pos="24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quarter ended December 28, 2024, no director or Section 16 officer of the Company adopted or terminated a Rule 10b5-1 trading arrangement or a non-rule 10b5-1 trading arrangement, in each case, as defined in Item 408(a) of Regulation S-K.</w:t>
      </w:r>
    </w:p>
    <w:p>
      <w:pPr>
        <w:spacing w:after="0" w:line="104" w:lineRule="exact"/>
        <w:rPr>
          <w:sz w:val="20"/>
          <w:szCs w:val="20"/>
          <w:color w:val="auto"/>
        </w:rPr>
      </w:pPr>
    </w:p>
    <w:p>
      <w:pPr>
        <w:ind w:right="5140"/>
        <w:spacing w:after="0" w:line="396"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9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tab/>
        <w:t>Directors, Executive Officers and Corporate Governance</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called for by Item 10 is incorporated herein by reference to the Definitive Proxy Statement of the Company relating to the Annual Meeting of Stockholders of Wolverine World Wide, Inc. expected to be held on May 1, 2025 in sections "Election of Directors," "Corporate Governance" and "Other Compensation Policies and Practices." The Company intends to file such Definitive Proxy Statement with the Securities and Exchange Commission pursuant to Regulation 14A within 120 days after the end of the fiscal year covered by this Annual Report on Form 10-K.</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adopted a Code of Business Conduct that applies to all of our directors, officers and employees, including our principal executive, principal financial and principal accounting officers, or persons performing similar functions. Our Code of Business Conduct is posted on our website located at http://www.wolverineworldwide.com/investor-relations/corporate-governance/. We intend to disclose future amendments to certain provisions of the Code of Business Conduct, and waivers of the Code of Business Conduct granted to executive officers and directors, on the website within four business days following the date of the amendment or waiver.</w:t>
      </w:r>
    </w:p>
    <w:p>
      <w:pPr>
        <w:spacing w:after="0" w:line="17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tab/>
        <w:t>Executive Compensation</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called for by Item 11 is incorporated herein by reference to the Definitive Proxy Statement referenced above in Item 10 in section "Compensation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76" w:name="page77"/>
    <w:bookmarkEnd w:id="76"/>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called for by Item 12 is incorporated herein by reference to the Definitive Proxy Statement referenced above in Item 10 in section "Securities Ownership in Officers and Directors and Certain Beneficial Owners".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the Company’s equity compensation plans as of December 28, 2024:</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3320" w:type="dxa"/>
            <w:vAlign w:val="bottom"/>
          </w:tcPr>
          <w:p>
            <w:pPr>
              <w:jc w:val="center"/>
              <w:ind w:left="828"/>
              <w:spacing w:after="0"/>
              <w:rPr>
                <w:sz w:val="20"/>
                <w:szCs w:val="20"/>
                <w:color w:val="auto"/>
              </w:rPr>
            </w:pPr>
            <w:r>
              <w:rPr>
                <w:rFonts w:ascii="Times New Roman" w:cs="Times New Roman" w:eastAsia="Times New Roman" w:hAnsi="Times New Roman"/>
                <w:sz w:val="14"/>
                <w:szCs w:val="14"/>
                <w:color w:val="auto"/>
              </w:rPr>
              <w:t>Number of Securities to be</w:t>
            </w:r>
          </w:p>
        </w:tc>
        <w:tc>
          <w:tcPr>
            <w:tcW w:w="226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Weighted Average Exercise</w:t>
            </w:r>
          </w:p>
        </w:tc>
        <w:tc>
          <w:tcPr>
            <w:tcW w:w="3120" w:type="dxa"/>
            <w:vAlign w:val="bottom"/>
            <w:vMerge w:val="restart"/>
          </w:tcPr>
          <w:p>
            <w:pPr>
              <w:jc w:val="center"/>
              <w:ind w:left="128"/>
              <w:spacing w:after="0"/>
              <w:rPr>
                <w:sz w:val="20"/>
                <w:szCs w:val="20"/>
                <w:color w:val="auto"/>
              </w:rPr>
            </w:pPr>
            <w:r>
              <w:rPr>
                <w:rFonts w:ascii="Times New Roman" w:cs="Times New Roman" w:eastAsia="Times New Roman" w:hAnsi="Times New Roman"/>
                <w:sz w:val="14"/>
                <w:szCs w:val="14"/>
                <w:color w:val="auto"/>
              </w:rPr>
              <w:t>Number of Securities Remaining Available for</w:t>
            </w:r>
          </w:p>
        </w:tc>
        <w:tc>
          <w:tcPr>
            <w:tcW w:w="0" w:type="dxa"/>
            <w:vAlign w:val="bottom"/>
          </w:tcPr>
          <w:p>
            <w:pPr>
              <w:spacing w:after="0"/>
              <w:rPr>
                <w:sz w:val="1"/>
                <w:szCs w:val="1"/>
                <w:color w:val="auto"/>
              </w:rPr>
            </w:pPr>
          </w:p>
        </w:tc>
      </w:tr>
      <w:tr>
        <w:trPr>
          <w:trHeight w:val="144"/>
        </w:trPr>
        <w:tc>
          <w:tcPr>
            <w:tcW w:w="2180" w:type="dxa"/>
            <w:vAlign w:val="bottom"/>
          </w:tcPr>
          <w:p>
            <w:pPr>
              <w:spacing w:after="0"/>
              <w:rPr>
                <w:sz w:val="12"/>
                <w:szCs w:val="12"/>
                <w:color w:val="auto"/>
              </w:rPr>
            </w:pPr>
          </w:p>
        </w:tc>
        <w:tc>
          <w:tcPr>
            <w:tcW w:w="3320" w:type="dxa"/>
            <w:vAlign w:val="bottom"/>
          </w:tcPr>
          <w:p>
            <w:pPr>
              <w:jc w:val="center"/>
              <w:ind w:left="828"/>
              <w:spacing w:after="0" w:line="145" w:lineRule="exact"/>
              <w:rPr>
                <w:sz w:val="20"/>
                <w:szCs w:val="20"/>
                <w:color w:val="auto"/>
              </w:rPr>
            </w:pPr>
            <w:r>
              <w:rPr>
                <w:rFonts w:ascii="Times New Roman" w:cs="Times New Roman" w:eastAsia="Times New Roman" w:hAnsi="Times New Roman"/>
                <w:sz w:val="14"/>
                <w:szCs w:val="14"/>
                <w:color w:val="auto"/>
              </w:rPr>
              <w:t>Issued Upon Exercise of</w:t>
            </w:r>
          </w:p>
        </w:tc>
        <w:tc>
          <w:tcPr>
            <w:tcW w:w="2260" w:type="dxa"/>
            <w:vAlign w:val="bottom"/>
            <w:vMerge w:val="continue"/>
          </w:tcPr>
          <w:p>
            <w:pPr>
              <w:spacing w:after="0"/>
              <w:rPr>
                <w:sz w:val="12"/>
                <w:szCs w:val="12"/>
                <w:color w:val="auto"/>
              </w:rPr>
            </w:pPr>
          </w:p>
        </w:tc>
        <w:tc>
          <w:tcPr>
            <w:tcW w:w="3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3320" w:type="dxa"/>
            <w:vAlign w:val="bottom"/>
          </w:tcPr>
          <w:p>
            <w:pPr>
              <w:jc w:val="center"/>
              <w:ind w:left="828"/>
              <w:spacing w:after="0" w:line="135" w:lineRule="exact"/>
              <w:rPr>
                <w:sz w:val="20"/>
                <w:szCs w:val="20"/>
                <w:color w:val="auto"/>
              </w:rPr>
            </w:pPr>
            <w:r>
              <w:rPr>
                <w:rFonts w:ascii="Times New Roman" w:cs="Times New Roman" w:eastAsia="Times New Roman" w:hAnsi="Times New Roman"/>
                <w:sz w:val="14"/>
                <w:szCs w:val="14"/>
                <w:color w:val="auto"/>
              </w:rPr>
              <w:t>Outstanding Options, Warrants</w:t>
            </w:r>
          </w:p>
        </w:tc>
        <w:tc>
          <w:tcPr>
            <w:tcW w:w="2260" w:type="dxa"/>
            <w:vAlign w:val="bottom"/>
          </w:tcPr>
          <w:p>
            <w:pPr>
              <w:jc w:val="center"/>
              <w:ind w:left="48"/>
              <w:spacing w:after="0" w:line="135" w:lineRule="exact"/>
              <w:rPr>
                <w:sz w:val="20"/>
                <w:szCs w:val="20"/>
                <w:color w:val="auto"/>
              </w:rPr>
            </w:pPr>
            <w:r>
              <w:rPr>
                <w:rFonts w:ascii="Times New Roman" w:cs="Times New Roman" w:eastAsia="Times New Roman" w:hAnsi="Times New Roman"/>
                <w:sz w:val="14"/>
                <w:szCs w:val="14"/>
                <w:color w:val="auto"/>
              </w:rPr>
              <w:t>Price of Outstanding Options,</w:t>
            </w:r>
          </w:p>
        </w:tc>
        <w:tc>
          <w:tcPr>
            <w:tcW w:w="3120" w:type="dxa"/>
            <w:vAlign w:val="bottom"/>
          </w:tcPr>
          <w:p>
            <w:pPr>
              <w:jc w:val="center"/>
              <w:ind w:left="148"/>
              <w:spacing w:after="0" w:line="135" w:lineRule="exact"/>
              <w:rPr>
                <w:sz w:val="20"/>
                <w:szCs w:val="20"/>
                <w:color w:val="auto"/>
              </w:rPr>
            </w:pPr>
            <w:r>
              <w:rPr>
                <w:rFonts w:ascii="Times New Roman" w:cs="Times New Roman" w:eastAsia="Times New Roman" w:hAnsi="Times New Roman"/>
                <w:sz w:val="14"/>
                <w:szCs w:val="14"/>
                <w:color w:val="auto"/>
              </w:rPr>
              <w:t>Future Issuance under Equity Compensation Plans</w:t>
            </w:r>
          </w:p>
        </w:tc>
        <w:tc>
          <w:tcPr>
            <w:tcW w:w="0" w:type="dxa"/>
            <w:vAlign w:val="bottom"/>
          </w:tcPr>
          <w:p>
            <w:pPr>
              <w:spacing w:after="0"/>
              <w:rPr>
                <w:sz w:val="1"/>
                <w:szCs w:val="1"/>
                <w:color w:val="auto"/>
              </w:rPr>
            </w:pPr>
          </w:p>
        </w:tc>
      </w:tr>
      <w:tr>
        <w:trPr>
          <w:trHeight w:val="146"/>
        </w:trPr>
        <w:tc>
          <w:tcPr>
            <w:tcW w:w="21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xml:space="preserve">Plan Category </w:t>
            </w:r>
            <w:r>
              <w:rPr>
                <w:rFonts w:ascii="Times New Roman" w:cs="Times New Roman" w:eastAsia="Times New Roman" w:hAnsi="Times New Roman"/>
                <w:sz w:val="18"/>
                <w:szCs w:val="18"/>
                <w:color w:val="auto"/>
                <w:vertAlign w:val="superscript"/>
              </w:rPr>
              <w:t>(1)</w:t>
            </w:r>
          </w:p>
        </w:tc>
        <w:tc>
          <w:tcPr>
            <w:tcW w:w="3320" w:type="dxa"/>
            <w:vAlign w:val="bottom"/>
          </w:tcPr>
          <w:p>
            <w:pPr>
              <w:jc w:val="center"/>
              <w:ind w:left="828"/>
              <w:spacing w:after="0" w:line="146" w:lineRule="exact"/>
              <w:rPr>
                <w:sz w:val="20"/>
                <w:szCs w:val="20"/>
                <w:color w:val="auto"/>
              </w:rPr>
            </w:pPr>
            <w:r>
              <w:rPr>
                <w:rFonts w:ascii="Times New Roman" w:cs="Times New Roman" w:eastAsia="Times New Roman" w:hAnsi="Times New Roman"/>
                <w:sz w:val="14"/>
                <w:szCs w:val="14"/>
                <w:color w:val="auto"/>
              </w:rPr>
              <w:t>and Rights</w:t>
            </w:r>
          </w:p>
        </w:tc>
        <w:tc>
          <w:tcPr>
            <w:tcW w:w="2260" w:type="dxa"/>
            <w:vAlign w:val="bottom"/>
          </w:tcPr>
          <w:p>
            <w:pPr>
              <w:jc w:val="center"/>
              <w:ind w:left="48"/>
              <w:spacing w:after="0" w:line="146" w:lineRule="exact"/>
              <w:rPr>
                <w:sz w:val="20"/>
                <w:szCs w:val="20"/>
                <w:color w:val="auto"/>
              </w:rPr>
            </w:pPr>
            <w:r>
              <w:rPr>
                <w:rFonts w:ascii="Times New Roman" w:cs="Times New Roman" w:eastAsia="Times New Roman" w:hAnsi="Times New Roman"/>
                <w:sz w:val="14"/>
                <w:szCs w:val="14"/>
                <w:color w:val="auto"/>
              </w:rPr>
              <w:t>Warrants and Rights</w:t>
            </w:r>
          </w:p>
        </w:tc>
        <w:tc>
          <w:tcPr>
            <w:tcW w:w="3120" w:type="dxa"/>
            <w:vAlign w:val="bottom"/>
          </w:tcPr>
          <w:p>
            <w:pPr>
              <w:jc w:val="center"/>
              <w:ind w:left="128"/>
              <w:spacing w:after="0" w:line="146" w:lineRule="exact"/>
              <w:rPr>
                <w:sz w:val="20"/>
                <w:szCs w:val="20"/>
                <w:color w:val="auto"/>
              </w:rPr>
            </w:pPr>
            <w:r>
              <w:rPr>
                <w:rFonts w:ascii="Times New Roman" w:cs="Times New Roman" w:eastAsia="Times New Roman" w:hAnsi="Times New Roman"/>
                <w:sz w:val="14"/>
                <w:szCs w:val="14"/>
                <w:color w:val="auto"/>
              </w:rPr>
              <w:t>Excluding Securities Reflected in Column (a))</w:t>
            </w:r>
          </w:p>
        </w:tc>
        <w:tc>
          <w:tcPr>
            <w:tcW w:w="0" w:type="dxa"/>
            <w:vAlign w:val="bottom"/>
          </w:tcPr>
          <w:p>
            <w:pPr>
              <w:spacing w:after="0"/>
              <w:rPr>
                <w:sz w:val="1"/>
                <w:szCs w:val="1"/>
                <w:color w:val="auto"/>
              </w:rPr>
            </w:pPr>
          </w:p>
        </w:tc>
      </w:tr>
      <w:tr>
        <w:trPr>
          <w:trHeight w:val="220"/>
        </w:trPr>
        <w:tc>
          <w:tcPr>
            <w:tcW w:w="2180" w:type="dxa"/>
            <w:vAlign w:val="bottom"/>
            <w:vMerge w:val="continue"/>
          </w:tcPr>
          <w:p>
            <w:pPr>
              <w:spacing w:after="0"/>
              <w:rPr>
                <w:sz w:val="19"/>
                <w:szCs w:val="19"/>
                <w:color w:val="auto"/>
              </w:rPr>
            </w:pPr>
          </w:p>
        </w:tc>
        <w:tc>
          <w:tcPr>
            <w:tcW w:w="3320" w:type="dxa"/>
            <w:vAlign w:val="bottom"/>
          </w:tcPr>
          <w:p>
            <w:pPr>
              <w:jc w:val="center"/>
              <w:ind w:left="848"/>
              <w:spacing w:after="0"/>
              <w:rPr>
                <w:sz w:val="20"/>
                <w:szCs w:val="20"/>
                <w:color w:val="auto"/>
              </w:rPr>
            </w:pPr>
            <w:r>
              <w:rPr>
                <w:rFonts w:ascii="Times New Roman" w:cs="Times New Roman" w:eastAsia="Times New Roman" w:hAnsi="Times New Roman"/>
                <w:sz w:val="14"/>
                <w:szCs w:val="14"/>
                <w:color w:val="auto"/>
              </w:rPr>
              <w:t>(a)</w:t>
            </w:r>
          </w:p>
        </w:tc>
        <w:tc>
          <w:tcPr>
            <w:tcW w:w="226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(b)</w:t>
            </w:r>
          </w:p>
        </w:tc>
        <w:tc>
          <w:tcPr>
            <w:tcW w:w="312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2654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p>
      <w:pPr>
        <w:ind w:left="360" w:right="260" w:hanging="323"/>
        <w:spacing w:after="0" w:line="226" w:lineRule="auto"/>
        <w:rPr>
          <w:sz w:val="20"/>
          <w:szCs w:val="20"/>
          <w:color w:val="auto"/>
        </w:rPr>
      </w:pPr>
      <w:r>
        <w:rPr>
          <w:rFonts w:ascii="Times New Roman" w:cs="Times New Roman" w:eastAsia="Times New Roman" w:hAnsi="Times New Roman"/>
          <w:sz w:val="18"/>
          <w:szCs w:val="18"/>
          <w:color w:val="auto"/>
        </w:rPr>
        <w:t>Equity compensation plans approved by security holders</w:t>
      </w:r>
    </w:p>
    <w:p>
      <w:pPr>
        <w:spacing w:after="0" w:line="9" w:lineRule="exact"/>
        <w:rPr>
          <w:sz w:val="20"/>
          <w:szCs w:val="20"/>
          <w:color w:val="auto"/>
        </w:rPr>
      </w:pPr>
    </w:p>
    <w:p>
      <w:pPr>
        <w:ind w:left="360" w:hanging="323"/>
        <w:spacing w:after="0" w:line="237" w:lineRule="auto"/>
        <w:rPr>
          <w:sz w:val="20"/>
          <w:szCs w:val="20"/>
          <w:color w:val="auto"/>
        </w:rPr>
      </w:pPr>
      <w:r>
        <w:rPr>
          <w:rFonts w:ascii="Times New Roman" w:cs="Times New Roman" w:eastAsia="Times New Roman" w:hAnsi="Times New Roman"/>
          <w:sz w:val="18"/>
          <w:szCs w:val="18"/>
          <w:color w:val="auto"/>
        </w:rPr>
        <w:t>Equity compensation plans not approved by security holders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9"/>
        </w:trPr>
        <w:tc>
          <w:tcPr>
            <w:tcW w:w="300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 xml:space="preserve">7,749,739 </w:t>
            </w:r>
            <w:r>
              <w:rPr>
                <w:rFonts w:ascii="Times New Roman" w:cs="Times New Roman" w:eastAsia="Times New Roman" w:hAnsi="Times New Roman"/>
                <w:sz w:val="21"/>
                <w:szCs w:val="21"/>
                <w:color w:val="auto"/>
                <w:vertAlign w:val="superscript"/>
              </w:rPr>
              <w:t>(2), (3)</w:t>
            </w:r>
          </w:p>
        </w:tc>
        <w:tc>
          <w:tcPr>
            <w:tcW w:w="16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 xml:space="preserve">$21.74 </w:t>
            </w:r>
            <w:r>
              <w:rPr>
                <w:rFonts w:ascii="Times New Roman" w:cs="Times New Roman" w:eastAsia="Times New Roman" w:hAnsi="Times New Roman"/>
                <w:sz w:val="21"/>
                <w:szCs w:val="21"/>
                <w:color w:val="auto"/>
                <w:vertAlign w:val="superscript"/>
              </w:rPr>
              <w:t>(4)</w:t>
            </w:r>
          </w:p>
        </w:tc>
        <w:tc>
          <w:tcPr>
            <w:tcW w:w="328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 xml:space="preserve">5,127,844 </w:t>
            </w:r>
            <w:r>
              <w:rPr>
                <w:rFonts w:ascii="Times New Roman" w:cs="Times New Roman" w:eastAsia="Times New Roman" w:hAnsi="Times New Roman"/>
                <w:sz w:val="21"/>
                <w:szCs w:val="21"/>
                <w:color w:val="auto"/>
                <w:vertAlign w:val="superscript"/>
              </w:rPr>
              <w:t>(5)</w:t>
            </w:r>
          </w:p>
        </w:tc>
      </w:tr>
      <w:tr>
        <w:trPr>
          <w:trHeight w:val="381"/>
        </w:trPr>
        <w:tc>
          <w:tcPr>
            <w:tcW w:w="300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28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900" w:type="dxa"/>
            <w:vAlign w:val="bottom"/>
            <w:tcBorders>
              <w:top w:val="single" w:sz="8" w:color="auto"/>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w w:val="99"/>
              </w:rPr>
              <w:t>7,749,739</w:t>
            </w:r>
          </w:p>
        </w:tc>
        <w:tc>
          <w:tcPr>
            <w:tcW w:w="1100" w:type="dxa"/>
            <w:vAlign w:val="bottom"/>
          </w:tcPr>
          <w:p>
            <w:pPr>
              <w:spacing w:after="0"/>
              <w:rPr>
                <w:sz w:val="19"/>
                <w:szCs w:val="19"/>
                <w:color w:val="auto"/>
              </w:rPr>
            </w:pPr>
          </w:p>
        </w:tc>
        <w:tc>
          <w:tcPr>
            <w:tcW w:w="16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$21.74</w:t>
            </w:r>
          </w:p>
        </w:tc>
        <w:tc>
          <w:tcPr>
            <w:tcW w:w="3280" w:type="dxa"/>
            <w:vAlign w:val="bottom"/>
            <w:tcBorders>
              <w:top w:val="single" w:sz="8" w:color="auto"/>
              <w:bottom w:val="single" w:sz="8" w:color="auto"/>
            </w:tcBorders>
          </w:tcPr>
          <w:p>
            <w:pPr>
              <w:ind w:left="2240"/>
              <w:spacing w:after="0"/>
              <w:rPr>
                <w:sz w:val="20"/>
                <w:szCs w:val="20"/>
                <w:color w:val="auto"/>
              </w:rPr>
            </w:pPr>
            <w:r>
              <w:rPr>
                <w:rFonts w:ascii="Times New Roman" w:cs="Times New Roman" w:eastAsia="Times New Roman" w:hAnsi="Times New Roman"/>
                <w:sz w:val="18"/>
                <w:szCs w:val="18"/>
                <w:color w:val="auto"/>
              </w:rPr>
              <w:t>5,127,844</w:t>
            </w:r>
          </w:p>
        </w:tc>
      </w:tr>
      <w:tr>
        <w:trPr>
          <w:trHeight w:val="20"/>
        </w:trPr>
        <w:tc>
          <w:tcPr>
            <w:tcW w:w="190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-187960</wp:posOffset>
            </wp:positionV>
            <wp:extent cx="713232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57" w:lineRule="exact"/>
        <w:rPr>
          <w:sz w:val="20"/>
          <w:szCs w:val="20"/>
          <w:color w:val="auto"/>
        </w:rPr>
      </w:pPr>
    </w:p>
    <w:p>
      <w:pPr>
        <w:sectPr>
          <w:pgSz w:w="11900" w:h="16838" w:orient="portrait"/>
          <w:cols w:equalWidth="0" w:num="2">
            <w:col w:w="3180" w:space="180"/>
            <w:col w:w="7880"/>
          </w:cols>
          <w:pgMar w:left="320" w:top="1103" w:right="339" w:bottom="1440" w:gutter="0" w:footer="0" w:header="0"/>
          <w:type w:val="continuous"/>
        </w:sectPr>
      </w:pPr>
    </w:p>
    <w:p>
      <w:pPr>
        <w:ind w:left="340" w:hanging="332"/>
        <w:spacing w:after="0" w:line="229" w:lineRule="auto"/>
        <w:tabs>
          <w:tab w:leader="none" w:pos="328"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Each plan for which aggregated information is provided contains customary anti-dilution provisions that are applicable in the event of a stock split, stock dividend or certain other changes in the Company’s capitalization.</w:t>
      </w:r>
    </w:p>
    <w:p>
      <w:pPr>
        <w:spacing w:after="0" w:line="36" w:lineRule="exact"/>
        <w:rPr>
          <w:rFonts w:ascii="Times New Roman" w:cs="Times New Roman" w:eastAsia="Times New Roman" w:hAnsi="Times New Roman"/>
          <w:sz w:val="23"/>
          <w:szCs w:val="23"/>
          <w:color w:val="auto"/>
          <w:vertAlign w:val="superscript"/>
        </w:rPr>
      </w:pPr>
    </w:p>
    <w:p>
      <w:pPr>
        <w:jc w:val="both"/>
        <w:ind w:left="340" w:hanging="332"/>
        <w:spacing w:after="0" w:line="245" w:lineRule="auto"/>
        <w:tabs>
          <w:tab w:leader="none" w:pos="328"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(i) 6,419,210 shares that have been granted as restricted stock units and performance stock units (assuming maximum number of performance stock units are earned and payable at the end of the three-year performance period) under the Stock Incentive Plan of 2016, as amended and restated and the Stock Incentive Plan of 2024, (ii) 1,179,067 stock options awarded to employees under the Stock Incentive Plan of 2013 and the Stock Incentive Plan of 2016, as amended and restated; and (iii) 151,462 stock options awarded to non-employee directors under the Stock Incentive Plan of 2013 and the Stock Incentive Plan of 2016, as amended and restated. Column (a) does not include stock units credited to outside directors’ fee accounts or retirement accounts under the Outside Directors’ Deferred Compensation Plan. Stock units do not have an exercise price. Each stock unit credited to a director’s fee account and retirement account under the Outside Directors’ Deferred Compensation Plan will be converted into one share of common stock upon distribution.</w:t>
      </w:r>
    </w:p>
    <w:p>
      <w:pPr>
        <w:spacing w:after="0" w:line="2"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Of this amount, 1,127 options were not exercisable as of December 28, 2024 due to vesting restrictions.</w:t>
      </w:r>
    </w:p>
    <w:p>
      <w:pPr>
        <w:spacing w:after="0" w:line="55" w:lineRule="exact"/>
        <w:rPr>
          <w:rFonts w:ascii="Times New Roman" w:cs="Times New Roman" w:eastAsia="Times New Roman" w:hAnsi="Times New Roman"/>
          <w:sz w:val="23"/>
          <w:szCs w:val="23"/>
          <w:color w:val="auto"/>
          <w:vertAlign w:val="superscript"/>
        </w:rPr>
      </w:pPr>
    </w:p>
    <w:p>
      <w:pPr>
        <w:ind w:left="320" w:hanging="312"/>
        <w:spacing w:after="0" w:line="194" w:lineRule="auto"/>
        <w:tabs>
          <w:tab w:leader="none" w:pos="320"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Weighted average exercise price of outstanding stock options only.</w:t>
      </w:r>
    </w:p>
    <w:p>
      <w:pPr>
        <w:spacing w:after="0" w:line="56" w:lineRule="exact"/>
        <w:rPr>
          <w:rFonts w:ascii="Times New Roman" w:cs="Times New Roman" w:eastAsia="Times New Roman" w:hAnsi="Times New Roman"/>
          <w:sz w:val="23"/>
          <w:szCs w:val="23"/>
          <w:color w:val="auto"/>
          <w:vertAlign w:val="superscript"/>
        </w:rPr>
      </w:pPr>
    </w:p>
    <w:p>
      <w:pPr>
        <w:ind w:left="340" w:hanging="332"/>
        <w:spacing w:after="0" w:line="219" w:lineRule="auto"/>
        <w:tabs>
          <w:tab w:leader="none" w:pos="328"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Comprised of: (i) 84,791 shares available for issuance under the Outside Directors’ Deferred Compensation Plan upon the retirement of the current directors or upon a change in control; and (ii) 5,043,053 shares issuable under the Stock Incentive Plan of 2024.</w:t>
      </w:r>
    </w:p>
    <w:p>
      <w:pPr>
        <w:spacing w:after="0" w:line="1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Outside Directors’ Deferred Compensation Plan is a supplemental, unfunded, nonqualified deferred compensation plan for non-employee directors. Beginning in 2006, the Company began paying an annual equity retainer to non-management directors in the form of a contribution under the Outside Directors’ Deferred Compensation Plan. Non-management directors may also voluntarily elect to receive, in lieu of some or all directors’ fees, a number of stock units equal to the amount of the deferred directors’ fees divided by the fair market value of the Company’s common stock on the date of payment. These stock units are increased by a dividend equivalent based on dividends paid by the Company and the amount of stock units credited to the participating director’s fee account and retirement account. Upon distribution, the participating directors receive a number of shares of the Company’s common stock equal to the number of stock units to be distributed at that time. Distribution is triggered by termination of service as a director or by a change in control of the Company and can occur in a lump sum, in installments or on another deferred basis. A total of 312,653 shares have been issued to a trust to satisfy the Company’s obligations when distribution is triggered and are included in shares the Company reports as issued and outstanding.</w:t>
      </w:r>
    </w:p>
    <w:p>
      <w:pPr>
        <w:spacing w:after="0" w:line="1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Stock Incentive Plan of 2024 is an equity-based incentive plan for officers, key employees, and directors. Such plan authorizes awards of stock options, restricted common stock, common stock, restricted stock units and/or stock appreciation rights. The Stock Incentive Plan of 2024, as amended and restated, provides that each share of restricted or unrestricted common stock and each restricted stock unit issued under the plan is counted as 1.0 share against the total number of shares authorized for issuance under the plan. The number of securities listed as remaining available in column (c) of the table assumes only stock options will be issued under the plan in the future; each stock option counts as only one share against the total number of shares authorized for issuance under the plan. The numbers provided in this footnote and in column (c) will increase to the extent that options relating to the number of shares listed in column (a) of the table or other outstanding awards (e.g., shares of restricted or unrestricted stock, restricted stock units or stock appreciation rights) previously issued under the plan are canceled, surrendered, modified, exchanged for substitutes, expire or terminate prior to exercise or vesting because the number of shares underlying any such awards will again become available for issuance under the plan under which the award was granted.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77" w:name="page78"/>
    <w:bookmarkEnd w:id="77"/>
    <w:p>
      <w:pPr>
        <w:spacing w:after="0" w:line="281" w:lineRule="auto"/>
        <w:rPr>
          <w:sz w:val="20"/>
          <w:szCs w:val="20"/>
          <w:color w:val="auto"/>
        </w:rPr>
      </w:pPr>
      <w:r>
        <w:rPr>
          <w:rFonts w:ascii="Times New Roman" w:cs="Times New Roman" w:eastAsia="Times New Roman" w:hAnsi="Times New Roman"/>
          <w:sz w:val="18"/>
          <w:szCs w:val="18"/>
          <w:color w:val="auto"/>
        </w:rPr>
        <w:t>Of the total number of shares available under column (c), the number of shares with respect to the following plans may be issued other than upon the exercise of an option, warrant or right outstanding as of December 28, 2024:</w:t>
      </w:r>
    </w:p>
    <w:p>
      <w:pPr>
        <w:spacing w:after="0" w:line="1" w:lineRule="exact"/>
        <w:rPr>
          <w:sz w:val="20"/>
          <w:szCs w:val="20"/>
          <w:color w:val="auto"/>
        </w:rPr>
      </w:pPr>
    </w:p>
    <w:p>
      <w:pPr>
        <w:ind w:left="320" w:hanging="312"/>
        <w:spacing w:after="0"/>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Outside Directors’ Deferred Compensation Plan: 84,791</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Incentive Plan of 2016, as amended and restated: 5,043,053</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called for by Item 13 is incorporated herein by reference to the Definitive Proxy Statement referenced above in Item 10 in sections "Related Party Matters" and "Director Independence".</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called for by Item 14 is incorporated herein by reference to the Definitive Proxy Statement referenced above in Item 10 in section "Independent Registered Public Accounting Firm".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0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108" w:lineRule="exact"/>
        <w:rPr>
          <w:sz w:val="20"/>
          <w:szCs w:val="20"/>
          <w:color w:val="auto"/>
        </w:rPr>
      </w:pPr>
    </w:p>
    <w:p>
      <w:pPr>
        <w:ind w:left="320" w:hanging="312"/>
        <w:spacing w:after="0"/>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w:t>
      </w:r>
    </w:p>
    <w:p>
      <w:pPr>
        <w:spacing w:after="0" w:line="86"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Financial Statements </w:t>
      </w:r>
      <w:r>
        <w:rPr>
          <w:rFonts w:ascii="Times New Roman" w:cs="Times New Roman" w:eastAsia="Times New Roman" w:hAnsi="Times New Roman"/>
          <w:sz w:val="18"/>
          <w:szCs w:val="18"/>
          <w:color w:val="auto"/>
        </w:rPr>
        <w:t>Included in Item 8</w:t>
      </w:r>
    </w:p>
    <w:p>
      <w:pPr>
        <w:spacing w:after="0" w:line="10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consolidated financial statements of Wolverine World Wide, Inc. and its subsidiaries are filed as a part of this report:</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Operations for the Fiscal Years Ended December 28, 2024, December 30, 2023 and December 31, 2022.</w:t>
      </w:r>
    </w:p>
    <w:p>
      <w:pPr>
        <w:spacing w:after="0" w:line="90"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Comprehensive Income (Loss) for the Fiscal Years Ended December 28, 2024, December 30, 2023 and December 31, 2022.</w:t>
      </w:r>
    </w:p>
    <w:p>
      <w:pPr>
        <w:spacing w:after="0" w:line="4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Balance Sheets as of December 28, 2024 and December 30, 2023.</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 for the Fiscal Years Ended December 28, 2024, December 30, 2023 and December 31, 2022.</w:t>
      </w:r>
    </w:p>
    <w:p>
      <w:pPr>
        <w:spacing w:after="0" w:line="90"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Stockholders’ Equity for the Fiscal Years Ended December 28, 2024, December 30, 2023 and December 31, 2022.</w:t>
      </w:r>
    </w:p>
    <w:p>
      <w:pPr>
        <w:spacing w:after="0" w:line="4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the Consolidated Financial Statements.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of Independent Registered Public Accounting Firm.</w:t>
      </w:r>
    </w:p>
    <w:p>
      <w:pPr>
        <w:spacing w:after="0" w:line="16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Financial Statement Schedules </w:t>
      </w:r>
      <w:r>
        <w:rPr>
          <w:rFonts w:ascii="Times New Roman" w:cs="Times New Roman" w:eastAsia="Times New Roman" w:hAnsi="Times New Roman"/>
          <w:sz w:val="18"/>
          <w:szCs w:val="18"/>
          <w:color w:val="auto"/>
        </w:rPr>
        <w:t>Attached as Appendix A</w:t>
      </w:r>
    </w:p>
    <w:p>
      <w:pPr>
        <w:spacing w:after="0" w:line="94"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consolidated financial statement schedule of Wolverine World Wide, Inc. and its subsidiaries is filed as a part of this report:</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II - Valuation and Qualifying Accounts.</w:t>
      </w:r>
    </w:p>
    <w:p>
      <w:pPr>
        <w:spacing w:after="0" w:line="171"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All other schedules (I, III, IV, and V) for which provision is made in the applicable accounting regulations of the SEC are not required under the related instructions or are inapplicable and, therefore, have been omitted.</w:t>
      </w:r>
    </w:p>
    <w:p>
      <w:pPr>
        <w:spacing w:after="0" w:line="104" w:lineRule="exact"/>
        <w:rPr>
          <w:sz w:val="20"/>
          <w:szCs w:val="20"/>
          <w:color w:val="auto"/>
        </w:rPr>
      </w:pPr>
    </w:p>
    <w:p>
      <w:pPr>
        <w:ind w:left="640" w:hanging="308"/>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Exhibits</w:t>
      </w:r>
    </w:p>
    <w:p>
      <w:pPr>
        <w:spacing w:after="0" w:line="107"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exhibits are filed with this Annual Report or incorporated by reference. The Company will furnish a copy of any exhibit listed below to any stockholder without charge upon written request to General Counsel and Secretary, 9341 Courtland Drive N.E., Rockford, Michigan 49351.</w:t>
      </w:r>
    </w:p>
    <w:p>
      <w:pPr>
        <w:spacing w:after="0" w:line="305"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870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Document</w:t>
            </w:r>
          </w:p>
        </w:tc>
        <w:tc>
          <w:tcPr>
            <w:tcW w:w="0" w:type="dxa"/>
            <w:vAlign w:val="bottom"/>
          </w:tcPr>
          <w:p>
            <w:pPr>
              <w:spacing w:after="0"/>
              <w:rPr>
                <w:sz w:val="1"/>
                <w:szCs w:val="1"/>
                <w:color w:val="auto"/>
              </w:rPr>
            </w:pPr>
          </w:p>
        </w:tc>
      </w:tr>
      <w:tr>
        <w:trPr>
          <w:trHeight w:val="195"/>
        </w:trPr>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870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920" w:type="dxa"/>
            <w:vAlign w:val="bottom"/>
            <w:tcBorders>
              <w:top w:val="single" w:sz="8" w:color="auto"/>
            </w:tcBorders>
          </w:tcPr>
          <w:p>
            <w:pPr>
              <w:jc w:val="right"/>
              <w:ind w:right="599"/>
              <w:spacing w:after="0"/>
              <w:rPr>
                <w:sz w:val="20"/>
                <w:szCs w:val="20"/>
                <w:color w:val="auto"/>
              </w:rPr>
            </w:pPr>
            <w:r>
              <w:rPr>
                <w:rFonts w:ascii="Times New Roman" w:cs="Times New Roman" w:eastAsia="Times New Roman" w:hAnsi="Times New Roman"/>
                <w:sz w:val="18"/>
                <w:szCs w:val="18"/>
                <w:color w:val="auto"/>
                <w:w w:val="97"/>
              </w:rPr>
              <w:t>3.1</w:t>
            </w:r>
          </w:p>
        </w:tc>
        <w:tc>
          <w:tcPr>
            <w:tcW w:w="1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700" w:type="dxa"/>
            <w:vAlign w:val="bottom"/>
            <w:tcBorders>
              <w:top w:val="single" w:sz="8" w:color="auto"/>
            </w:tcBorders>
            <w:gridSpan w:val="5"/>
          </w:tcPr>
          <w:p>
            <w:pPr>
              <w:spacing w:after="0"/>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Amended and Restated Certificate of Incorporation. Incorporated by reference to Exhibit 3.1 to the Company’s current</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6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99">
              <w:r>
                <w:rPr>
                  <w:rFonts w:ascii="Times New Roman" w:cs="Times New Roman" w:eastAsia="Times New Roman" w:hAnsi="Times New Roman"/>
                  <w:sz w:val="18"/>
                  <w:szCs w:val="18"/>
                  <w:color w:val="0000FF"/>
                  <w:w w:val="99"/>
                </w:rPr>
                <w:t>report on Form 8-K filed on April 24, 2014.</w:t>
              </w:r>
            </w:hyperlink>
          </w:p>
        </w:tc>
        <w:tc>
          <w:tcPr>
            <w:tcW w:w="55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20" w:type="dxa"/>
            <w:vAlign w:val="bottom"/>
          </w:tcPr>
          <w:p>
            <w:pPr>
              <w:jc w:val="right"/>
              <w:ind w:right="599"/>
              <w:spacing w:after="0"/>
              <w:rPr>
                <w:sz w:val="20"/>
                <w:szCs w:val="20"/>
                <w:color w:val="auto"/>
              </w:rPr>
            </w:pPr>
            <w:r>
              <w:rPr>
                <w:rFonts w:ascii="Times New Roman" w:cs="Times New Roman" w:eastAsia="Times New Roman" w:hAnsi="Times New Roman"/>
                <w:sz w:val="18"/>
                <w:szCs w:val="18"/>
                <w:color w:val="auto"/>
                <w:w w:val="97"/>
              </w:rPr>
              <w:t>3.2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700" w:type="dxa"/>
            <w:vAlign w:val="bottom"/>
            <w:gridSpan w:val="5"/>
          </w:tcPr>
          <w:p>
            <w:pPr>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Amended and Restated By-laws. Incorporated by reference to Exhibit 3.1 to the Company’s Current Report on Form 8-</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8"/>
              </w:rPr>
            </w:pPr>
            <w:hyperlink r:id="rId100">
              <w:r>
                <w:rPr>
                  <w:rFonts w:ascii="Times New Roman" w:cs="Times New Roman" w:eastAsia="Times New Roman" w:hAnsi="Times New Roman"/>
                  <w:sz w:val="18"/>
                  <w:szCs w:val="18"/>
                  <w:color w:val="0000FF"/>
                  <w:w w:val="98"/>
                </w:rPr>
                <w:t>K filed on November 7, 2022.</w:t>
              </w:r>
            </w:hyperlink>
          </w:p>
        </w:tc>
        <w:tc>
          <w:tcPr>
            <w:tcW w:w="652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61"/>
        </w:trPr>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9060" w:type="dxa"/>
            <w:vAlign w:val="bottom"/>
            <w:gridSpan w:val="5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Document</w:t>
            </w:r>
          </w:p>
        </w:tc>
        <w:tc>
          <w:tcPr>
            <w:tcW w:w="0" w:type="dxa"/>
            <w:vAlign w:val="bottom"/>
          </w:tcPr>
          <w:p>
            <w:pPr>
              <w:spacing w:after="0"/>
              <w:rPr>
                <w:sz w:val="1"/>
                <w:szCs w:val="1"/>
                <w:color w:val="auto"/>
              </w:rPr>
            </w:pPr>
          </w:p>
        </w:tc>
      </w:tr>
      <w:tr>
        <w:trPr>
          <w:trHeight w:val="196"/>
        </w:trPr>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9060" w:type="dxa"/>
            <w:vAlign w:val="bottom"/>
            <w:gridSpan w:val="5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060" w:type="dxa"/>
            <w:vAlign w:val="bottom"/>
            <w:tcBorders>
              <w:top w:val="single" w:sz="8" w:color="auto"/>
            </w:tcBorders>
            <w:gridSpan w:val="52"/>
          </w:tcPr>
          <w:p>
            <w:pPr>
              <w:spacing w:after="0"/>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Description of the Registrant's Securities Registered Pursuant To Section 12 of The Securities Exchange Act of 1934.</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00" w:type="dxa"/>
            <w:vAlign w:val="bottom"/>
            <w:tcBorders>
              <w:top w:val="single" w:sz="8" w:color="0000FF"/>
            </w:tcBorders>
            <w:gridSpan w:val="44"/>
          </w:tcPr>
          <w:p>
            <w:pPr>
              <w:spacing w:after="0" w:line="156"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Incorporated by reference to Exhibit 4.1 to the Company's Annual Report on Form 10-K for the fiscal year ended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8"/>
              </w:rPr>
            </w:pPr>
            <w:hyperlink r:id="rId102">
              <w:r>
                <w:rPr>
                  <w:rFonts w:ascii="Times New Roman" w:cs="Times New Roman" w:eastAsia="Times New Roman" w:hAnsi="Times New Roman"/>
                  <w:sz w:val="18"/>
                  <w:szCs w:val="18"/>
                  <w:color w:val="0000FF"/>
                  <w:w w:val="98"/>
                </w:rPr>
                <w:t>December 28, 2019.</w:t>
              </w:r>
            </w:hyperlink>
          </w:p>
        </w:tc>
        <w:tc>
          <w:tcPr>
            <w:tcW w:w="7400" w:type="dxa"/>
            <w:vAlign w:val="bottom"/>
            <w:tcBorders>
              <w:top w:val="single" w:sz="8" w:color="0000FF"/>
            </w:tcBorders>
            <w:gridSpan w:val="38"/>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60" w:type="dxa"/>
            <w:vAlign w:val="bottom"/>
            <w:gridSpan w:val="52"/>
          </w:tcPr>
          <w:p>
            <w:pPr>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Senior Notes Indenture, dated August 26, 2021, among Wolverine World Wide, Inc., the guarantors named therein, and</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60" w:type="dxa"/>
            <w:vAlign w:val="bottom"/>
            <w:tcBorders>
              <w:top w:val="single" w:sz="8" w:color="0000FF"/>
            </w:tcBorders>
            <w:gridSpan w:val="47"/>
          </w:tcPr>
          <w:p>
            <w:pPr>
              <w:spacing w:after="0" w:line="156"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The Huntington National Bank. Incorporated by reference to Exhibit 4.1 to the Company's Current Report on Form 8-K</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4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8"/>
              </w:rPr>
            </w:pPr>
            <w:hyperlink r:id="rId103">
              <w:r>
                <w:rPr>
                  <w:rFonts w:ascii="Times New Roman" w:cs="Times New Roman" w:eastAsia="Times New Roman" w:hAnsi="Times New Roman"/>
                  <w:sz w:val="18"/>
                  <w:szCs w:val="18"/>
                  <w:color w:val="0000FF"/>
                  <w:w w:val="98"/>
                </w:rPr>
                <w:t>filed on August 26, 2021.</w:t>
              </w:r>
            </w:hyperlink>
          </w:p>
        </w:tc>
        <w:tc>
          <w:tcPr>
            <w:tcW w:w="6940" w:type="dxa"/>
            <w:vAlign w:val="bottom"/>
            <w:tcBorders>
              <w:top w:val="single" w:sz="8" w:color="0000FF"/>
            </w:tcBorders>
            <w:gridSpan w:val="3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60" w:type="dxa"/>
            <w:vAlign w:val="bottom"/>
            <w:gridSpan w:val="52"/>
          </w:tcPr>
          <w:p>
            <w:pPr>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Form of 4.000% Senior Notes due 2029. Incorporated by reference to Exhibit 4.2 to the Company's Current Report on</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03">
              <w:r>
                <w:rPr>
                  <w:rFonts w:ascii="Times New Roman" w:cs="Times New Roman" w:eastAsia="Times New Roman" w:hAnsi="Times New Roman"/>
                  <w:sz w:val="18"/>
                  <w:szCs w:val="18"/>
                  <w:color w:val="0000FF"/>
                  <w:w w:val="99"/>
                </w:rPr>
                <w:t>Form 8-K filed on August 26, 2021.</w:t>
              </w:r>
            </w:hyperlink>
          </w:p>
        </w:tc>
        <w:tc>
          <w:tcPr>
            <w:tcW w:w="6240" w:type="dxa"/>
            <w:vAlign w:val="bottom"/>
            <w:tcBorders>
              <w:top w:val="single" w:sz="8" w:color="0000FF"/>
            </w:tcBorders>
            <w:gridSpan w:val="3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60" w:type="dxa"/>
            <w:vAlign w:val="bottom"/>
            <w:gridSpan w:val="52"/>
          </w:tcPr>
          <w:p>
            <w:pPr>
              <w:spacing w:after="0"/>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Amended and Restated Outside Directors’ Deferred Compensation Plan.* Incorporated by reference to Exhibit 10.9 to</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6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the Company’s Annual Report on Form 10-K for the fiscal year ended December 29, 2007.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60" w:type="dxa"/>
            <w:vAlign w:val="bottom"/>
            <w:gridSpan w:val="52"/>
          </w:tcPr>
          <w:p>
            <w:pPr>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Outside Directors’ Deferred Compensation Plan.* Incorporated by reference to Exhibit 10.2 to the Company’s Current</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8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05">
              <w:r>
                <w:rPr>
                  <w:rFonts w:ascii="Times New Roman" w:cs="Times New Roman" w:eastAsia="Times New Roman" w:hAnsi="Times New Roman"/>
                  <w:sz w:val="18"/>
                  <w:szCs w:val="18"/>
                  <w:color w:val="0000FF"/>
                  <w:w w:val="99"/>
                </w:rPr>
                <w:t>Report on Form 8-K filed on December 17, 2008.</w:t>
              </w:r>
            </w:hyperlink>
          </w:p>
        </w:tc>
        <w:tc>
          <w:tcPr>
            <w:tcW w:w="5420" w:type="dxa"/>
            <w:vAlign w:val="bottom"/>
            <w:tcBorders>
              <w:top w:val="single" w:sz="8" w:color="0000FF"/>
            </w:tcBorders>
            <w:gridSpan w:val="3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60" w:type="dxa"/>
            <w:vAlign w:val="bottom"/>
            <w:gridSpan w:val="52"/>
          </w:tcPr>
          <w:p>
            <w:pPr>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Wolverine World Wide, Inc. Deferred Compensation Plan, Amended and Restated.* Incorporated by reference to</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80" w:type="dxa"/>
            <w:vAlign w:val="bottom"/>
            <w:tcBorders>
              <w:top w:val="single" w:sz="8" w:color="0000FF"/>
            </w:tcBorders>
            <w:gridSpan w:val="48"/>
          </w:tcPr>
          <w:p>
            <w:pPr>
              <w:spacing w:after="0" w:line="156"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Exhibit 10.1 to the Company’s Current Report on Form 8-K filed on February 13, 2018.</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60" w:type="dxa"/>
            <w:vAlign w:val="bottom"/>
            <w:gridSpan w:val="52"/>
          </w:tcPr>
          <w:p>
            <w:pPr>
              <w:spacing w:after="0"/>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First Amendment to the Wolverine World Wide, Inc. Deferred Compensation Plan, dated as of December 29, 2020.*</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20" w:type="dxa"/>
            <w:vAlign w:val="bottom"/>
            <w:tcBorders>
              <w:top w:val="single" w:sz="8" w:color="0000FF"/>
            </w:tcBorders>
            <w:gridSpan w:val="45"/>
          </w:tcPr>
          <w:p>
            <w:pPr>
              <w:spacing w:after="0" w:line="156"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Incorporated by reference to Exhibit 10.35 to the Company's Annual Report on Form 10-K for the fiscal year ended</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0" w:type="dxa"/>
            <w:vAlign w:val="bottom"/>
            <w:tcBorders>
              <w:top w:val="single" w:sz="8" w:color="0000FF"/>
            </w:tcBorders>
            <w:gridSpan w:val="49"/>
          </w:tcPr>
          <w:p>
            <w:pPr>
              <w:spacing w:after="0" w:line="156"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January 2,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60" w:type="dxa"/>
            <w:vAlign w:val="bottom"/>
            <w:gridSpan w:val="52"/>
          </w:tcPr>
          <w:p>
            <w:pPr>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Amended and Restated Stock Option Loan Program.* Incorporated by reference to Exhibit 10.12 to the Company’s</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0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Annual Report on Form 10-K for the fiscal year ended December 29, 2007.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60" w:type="dxa"/>
            <w:vAlign w:val="bottom"/>
            <w:gridSpan w:val="52"/>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Separation Agreement between Wolverine World Wide, Inc. and James D. Zwiers dated as of December 19, 2023.*</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40" w:type="dxa"/>
            <w:vAlign w:val="bottom"/>
            <w:tcBorders>
              <w:top w:val="single" w:sz="8" w:color="0000FF"/>
            </w:tcBorders>
            <w:gridSpan w:val="46"/>
          </w:tcPr>
          <w:p>
            <w:pPr>
              <w:spacing w:after="0" w:line="156"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Incorporated by reference to Exhibit 10.6 to the Company's Annual Report on Form 10-K for the fiscal year ended</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8"/>
              </w:rPr>
            </w:pPr>
            <w:hyperlink r:id="rId109">
              <w:r>
                <w:rPr>
                  <w:rFonts w:ascii="Times New Roman" w:cs="Times New Roman" w:eastAsia="Times New Roman" w:hAnsi="Times New Roman"/>
                  <w:sz w:val="18"/>
                  <w:szCs w:val="18"/>
                  <w:color w:val="0000FF"/>
                  <w:w w:val="98"/>
                </w:rPr>
                <w:t>December 30, 2023.</w:t>
              </w:r>
            </w:hyperlink>
          </w:p>
        </w:tc>
        <w:tc>
          <w:tcPr>
            <w:tcW w:w="7220" w:type="dxa"/>
            <w:vAlign w:val="bottom"/>
            <w:tcBorders>
              <w:top w:val="single" w:sz="8" w:color="0000FF"/>
            </w:tcBorders>
            <w:gridSpan w:val="29"/>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60" w:type="dxa"/>
            <w:vAlign w:val="bottom"/>
            <w:gridSpan w:val="52"/>
          </w:tcPr>
          <w:p>
            <w:pPr>
              <w:spacing w:after="0"/>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Executive Severance Agreement.* Incorporated by reference to Exhibit 10.3 to the Company’s Current Report on Form</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8-K filed on December 17, 2008. A participant schedule of current executive officers who are parties to this agreement</w:t>
              </w:r>
            </w:hyperlink>
          </w:p>
        </w:tc>
        <w:tc>
          <w:tcPr>
            <w:tcW w:w="1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40" w:type="dxa"/>
            <w:vAlign w:val="bottom"/>
            <w:tcBorders>
              <w:top w:val="single" w:sz="8" w:color="0000FF"/>
              <w:bottom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w w:val="98"/>
              </w:rPr>
              <w:t>is attached as Exhibit 10.7.</w:t>
            </w:r>
          </w:p>
        </w:tc>
        <w:tc>
          <w:tcPr>
            <w:tcW w:w="44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Borders>
              <w:top w:val="single" w:sz="8" w:color="0000FF"/>
            </w:tcBorders>
            <w:gridSpan w:val="2"/>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gridSpan w:val="2"/>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gridSpan w:val="2"/>
          </w:tcPr>
          <w:p>
            <w:pPr>
              <w:spacing w:after="0"/>
              <w:rPr>
                <w:sz w:val="13"/>
                <w:szCs w:val="13"/>
                <w:color w:val="auto"/>
              </w:rPr>
            </w:pPr>
          </w:p>
        </w:tc>
        <w:tc>
          <w:tcPr>
            <w:tcW w:w="700" w:type="dxa"/>
            <w:vAlign w:val="bottom"/>
            <w:tcBorders>
              <w:top w:val="single" w:sz="8" w:color="0000FF"/>
            </w:tcBorders>
            <w:gridSpan w:val="2"/>
          </w:tcPr>
          <w:p>
            <w:pPr>
              <w:spacing w:after="0"/>
              <w:rPr>
                <w:sz w:val="13"/>
                <w:szCs w:val="13"/>
                <w:color w:val="auto"/>
              </w:rPr>
            </w:pPr>
          </w:p>
        </w:tc>
        <w:tc>
          <w:tcPr>
            <w:tcW w:w="700" w:type="dxa"/>
            <w:vAlign w:val="bottom"/>
            <w:tcBorders>
              <w:top w:val="single" w:sz="8" w:color="0000FF"/>
            </w:tcBorders>
            <w:gridSpan w:val="2"/>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60" w:type="dxa"/>
            <w:vAlign w:val="bottom"/>
            <w:gridSpan w:val="52"/>
          </w:tcPr>
          <w:p>
            <w:pPr>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Executive Severance Agreement.* Incorporated by reference to Exhibit 10.14 to the Company’s Annual Report on Form</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80" w:type="dxa"/>
            <w:vAlign w:val="bottom"/>
            <w:tcBorders>
              <w:top w:val="single" w:sz="8" w:color="0000FF"/>
            </w:tcBorders>
            <w:gridSpan w:val="43"/>
          </w:tcPr>
          <w:p>
            <w:pPr>
              <w:spacing w:after="0" w:line="156"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10-K for the fiscal year ended December 31, 2011. A participant schedule of current executive officers who are parties</w:t>
              </w:r>
            </w:hyperlink>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20" w:type="dxa"/>
            <w:vAlign w:val="bottom"/>
            <w:tcBorders>
              <w:top w:val="single" w:sz="8" w:color="0000FF"/>
              <w:bottom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w w:val="99"/>
              </w:rPr>
              <w:t>to this agreement is attached as Exhibit 10.8.</w:t>
            </w:r>
          </w:p>
        </w:tc>
        <w:tc>
          <w:tcPr>
            <w:tcW w:w="420" w:type="dxa"/>
            <w:vAlign w:val="bottom"/>
            <w:tcBorders>
              <w:top w:val="single" w:sz="8" w:color="0000FF"/>
            </w:tcBorders>
            <w:gridSpan w:val="2"/>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gridSpan w:val="2"/>
          </w:tcPr>
          <w:p>
            <w:pPr>
              <w:spacing w:after="0"/>
              <w:rPr>
                <w:sz w:val="13"/>
                <w:szCs w:val="13"/>
                <w:color w:val="auto"/>
              </w:rPr>
            </w:pPr>
          </w:p>
        </w:tc>
        <w:tc>
          <w:tcPr>
            <w:tcW w:w="700" w:type="dxa"/>
            <w:vAlign w:val="bottom"/>
            <w:tcBorders>
              <w:top w:val="single" w:sz="8" w:color="0000FF"/>
            </w:tcBorders>
            <w:gridSpan w:val="2"/>
          </w:tcPr>
          <w:p>
            <w:pPr>
              <w:spacing w:after="0"/>
              <w:rPr>
                <w:sz w:val="13"/>
                <w:szCs w:val="13"/>
                <w:color w:val="auto"/>
              </w:rPr>
            </w:pPr>
          </w:p>
        </w:tc>
        <w:tc>
          <w:tcPr>
            <w:tcW w:w="700" w:type="dxa"/>
            <w:vAlign w:val="bottom"/>
            <w:tcBorders>
              <w:top w:val="single" w:sz="8" w:color="0000FF"/>
            </w:tcBorders>
            <w:gridSpan w:val="2"/>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60" w:type="dxa"/>
            <w:vAlign w:val="bottom"/>
            <w:gridSpan w:val="2"/>
          </w:tcPr>
          <w:p>
            <w:pPr>
              <w:spacing w:after="0"/>
              <w:rPr>
                <w:sz w:val="13"/>
                <w:szCs w:val="13"/>
                <w:color w:val="auto"/>
              </w:rPr>
            </w:pPr>
          </w:p>
        </w:tc>
        <w:tc>
          <w:tcPr>
            <w:tcW w:w="14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60" w:type="dxa"/>
            <w:vAlign w:val="bottom"/>
            <w:gridSpan w:val="52"/>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Executive Severance Agreement between Brendan Hoffman and the Company, dated August 7, 2020.* Incorporated by</w:t>
              </w:r>
            </w:hyperlink>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100" w:type="dxa"/>
            <w:vAlign w:val="bottom"/>
            <w:tcBorders>
              <w:top w:val="single" w:sz="8" w:color="0000FF"/>
              <w:bottom w:val="single" w:sz="8" w:color="0000FF"/>
            </w:tcBorders>
            <w:gridSpan w:val="21"/>
          </w:tcPr>
          <w:p>
            <w:pPr>
              <w:spacing w:after="0" w:line="182" w:lineRule="exact"/>
              <w:rPr>
                <w:rFonts w:ascii="Times New Roman" w:cs="Times New Roman" w:eastAsia="Times New Roman" w:hAnsi="Times New Roman"/>
                <w:sz w:val="18"/>
                <w:szCs w:val="18"/>
                <w:color w:val="0000FF"/>
                <w:w w:val="99"/>
              </w:rPr>
            </w:pPr>
            <w:hyperlink r:id="rId112">
              <w:r>
                <w:rPr>
                  <w:rFonts w:ascii="Times New Roman" w:cs="Times New Roman" w:eastAsia="Times New Roman" w:hAnsi="Times New Roman"/>
                  <w:sz w:val="18"/>
                  <w:szCs w:val="18"/>
                  <w:color w:val="0000FF"/>
                  <w:w w:val="99"/>
                </w:rPr>
                <w:t>reference to Exhibit 10.1 to the Company’s Current Report on Form 8-K filed on August 13, 2020.</w:t>
              </w:r>
            </w:hyperlink>
          </w:p>
        </w:tc>
        <w:tc>
          <w:tcPr>
            <w:tcW w:w="1480" w:type="dxa"/>
            <w:vAlign w:val="bottom"/>
            <w:tcBorders>
              <w:top w:val="single" w:sz="8" w:color="0000FF"/>
            </w:tcBorders>
            <w:gridSpan w:val="9"/>
          </w:tcPr>
          <w:p>
            <w:pPr>
              <w:spacing w:after="0"/>
              <w:rPr>
                <w:sz w:val="15"/>
                <w:szCs w:val="15"/>
                <w:color w:val="auto"/>
              </w:rPr>
            </w:pPr>
          </w:p>
        </w:tc>
        <w:tc>
          <w:tcPr>
            <w:tcW w:w="14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6"/>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60" w:type="dxa"/>
            <w:vAlign w:val="bottom"/>
            <w:gridSpan w:val="52"/>
          </w:tcPr>
          <w:p>
            <w:pPr>
              <w:spacing w:after="0"/>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Amendment, dated as of March 25, 2021, to the Executive Severance Agreement between Brendan Hoffman and the</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80" w:type="dxa"/>
            <w:vAlign w:val="bottom"/>
            <w:tcBorders>
              <w:top w:val="single" w:sz="8" w:color="0000FF"/>
            </w:tcBorders>
            <w:gridSpan w:val="43"/>
          </w:tcPr>
          <w:p>
            <w:pPr>
              <w:spacing w:after="0" w:line="156"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Company, dated as of September 8, 2020.* Incorporated by reference to Exhibit 10.1 to the Company's Current Report</w:t>
              </w:r>
            </w:hyperlink>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60" w:type="dxa"/>
            <w:vAlign w:val="bottom"/>
            <w:tcBorders>
              <w:top w:val="single" w:sz="8" w:color="0000FF"/>
            </w:tcBorders>
            <w:gridSpan w:val="37"/>
          </w:tcPr>
          <w:p>
            <w:pPr>
              <w:spacing w:after="0" w:line="156"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on Form 8-K filed on March 26, 2021.</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100" w:type="dxa"/>
            <w:vAlign w:val="bottom"/>
            <w:gridSpan w:val="8"/>
            <w:shd w:val="clear" w:color="auto" w:fill="0000FF"/>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60" w:type="dxa"/>
            <w:vAlign w:val="bottom"/>
            <w:gridSpan w:val="52"/>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Form of Indemnification Agreement.* The Company has entered into an Indemnification Agreement with each director</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0" w:type="dxa"/>
            <w:vAlign w:val="bottom"/>
            <w:tcBorders>
              <w:top w:val="single" w:sz="8" w:color="0000FF"/>
              <w:bottom w:val="single" w:sz="8" w:color="0000FF"/>
            </w:tcBorders>
            <w:gridSpan w:val="39"/>
          </w:tcPr>
          <w:p>
            <w:pPr>
              <w:spacing w:after="0" w:line="156"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and certain executive officers. Incorporated by reference to Exhibit 10.1 to the Company’s Current Report on Form 8-K</w:t>
              </w:r>
            </w:hyperlink>
          </w:p>
        </w:tc>
        <w:tc>
          <w:tcPr>
            <w:tcW w:w="20" w:type="dxa"/>
            <w:vAlign w:val="bottom"/>
            <w:tcBorders>
              <w:bottom w:val="single" w:sz="8" w:color="0000FF"/>
            </w:tcBorders>
          </w:tcPr>
          <w:p>
            <w:pPr>
              <w:spacing w:after="0"/>
              <w:rPr>
                <w:sz w:val="13"/>
                <w:szCs w:val="13"/>
                <w:color w:val="auto"/>
              </w:rPr>
            </w:pPr>
          </w:p>
        </w:tc>
        <w:tc>
          <w:tcPr>
            <w:tcW w:w="120" w:type="dxa"/>
            <w:vAlign w:val="bottom"/>
            <w:tcBorders>
              <w:bottom w:val="single" w:sz="8" w:color="0000FF"/>
            </w:tcBorders>
            <w:gridSpan w:val="6"/>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0" w:type="dxa"/>
            <w:vAlign w:val="bottom"/>
            <w:tcBorders>
              <w:bottom w:val="single" w:sz="8" w:color="0000FF"/>
            </w:tcBorders>
            <w:gridSpan w:val="19"/>
          </w:tcPr>
          <w:p>
            <w:pPr>
              <w:spacing w:after="0" w:line="156" w:lineRule="exact"/>
              <w:rPr>
                <w:rFonts w:ascii="Times New Roman" w:cs="Times New Roman" w:eastAsia="Times New Roman" w:hAnsi="Times New Roman"/>
                <w:sz w:val="18"/>
                <w:szCs w:val="18"/>
                <w:color w:val="0000FF"/>
                <w:w w:val="99"/>
              </w:rPr>
            </w:pPr>
            <w:hyperlink r:id="rId114">
              <w:r>
                <w:rPr>
                  <w:rFonts w:ascii="Times New Roman" w:cs="Times New Roman" w:eastAsia="Times New Roman" w:hAnsi="Times New Roman"/>
                  <w:sz w:val="18"/>
                  <w:szCs w:val="18"/>
                  <w:color w:val="0000FF"/>
                  <w:w w:val="99"/>
                </w:rPr>
                <w:t>filed on April 25, 2007. All executive officers and directors are parties to this agreement.</w:t>
              </w:r>
            </w:hyperlink>
          </w:p>
        </w:tc>
        <w:tc>
          <w:tcPr>
            <w:tcW w:w="2620" w:type="dxa"/>
            <w:vAlign w:val="bottom"/>
            <w:gridSpan w:val="3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60" w:type="dxa"/>
            <w:vAlign w:val="bottom"/>
            <w:gridSpan w:val="52"/>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Indemnification Agreement between Brendan Hoffman and the Company, dated August 7, 2020.* Incorporated by</w:t>
              </w:r>
            </w:hyperlink>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100" w:type="dxa"/>
            <w:vAlign w:val="bottom"/>
            <w:tcBorders>
              <w:top w:val="single" w:sz="8" w:color="0000FF"/>
              <w:bottom w:val="single" w:sz="8" w:color="0000FF"/>
            </w:tcBorders>
            <w:gridSpan w:val="21"/>
          </w:tcPr>
          <w:p>
            <w:pPr>
              <w:spacing w:after="0" w:line="182" w:lineRule="exact"/>
              <w:rPr>
                <w:rFonts w:ascii="Times New Roman" w:cs="Times New Roman" w:eastAsia="Times New Roman" w:hAnsi="Times New Roman"/>
                <w:sz w:val="18"/>
                <w:szCs w:val="18"/>
                <w:color w:val="0000FF"/>
                <w:w w:val="99"/>
              </w:rPr>
            </w:pPr>
            <w:hyperlink r:id="rId115">
              <w:r>
                <w:rPr>
                  <w:rFonts w:ascii="Times New Roman" w:cs="Times New Roman" w:eastAsia="Times New Roman" w:hAnsi="Times New Roman"/>
                  <w:sz w:val="18"/>
                  <w:szCs w:val="18"/>
                  <w:color w:val="0000FF"/>
                  <w:w w:val="99"/>
                </w:rPr>
                <w:t>reference to Exhibit 10.2 to the Company’s Current Report on Form 8-K filed on August 13, 2020.</w:t>
              </w:r>
            </w:hyperlink>
          </w:p>
        </w:tc>
        <w:tc>
          <w:tcPr>
            <w:tcW w:w="1140" w:type="dxa"/>
            <w:vAlign w:val="bottom"/>
            <w:tcBorders>
              <w:top w:val="single" w:sz="8" w:color="0000FF"/>
            </w:tcBorders>
            <w:gridSpan w:val="6"/>
          </w:tcPr>
          <w:p>
            <w:pPr>
              <w:spacing w:after="0"/>
              <w:rPr>
                <w:sz w:val="15"/>
                <w:szCs w:val="15"/>
                <w:color w:val="auto"/>
              </w:rPr>
            </w:pPr>
          </w:p>
        </w:tc>
        <w:tc>
          <w:tcPr>
            <w:tcW w:w="480" w:type="dxa"/>
            <w:vAlign w:val="bottom"/>
            <w:gridSpan w:val="8"/>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120" w:type="dxa"/>
            <w:vAlign w:val="bottom"/>
            <w:gridSpan w:val="6"/>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60" w:type="dxa"/>
            <w:vAlign w:val="bottom"/>
            <w:gridSpan w:val="52"/>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Employment Agreement between Isabel Soriano and the Company.* Incorporated by reference to Exhibit 10.3 to the</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0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w w:val="99"/>
              </w:rPr>
            </w:pPr>
            <w:hyperlink r:id="rId116">
              <w:r>
                <w:rPr>
                  <w:rFonts w:ascii="Times New Roman" w:cs="Times New Roman" w:eastAsia="Times New Roman" w:hAnsi="Times New Roman"/>
                  <w:sz w:val="18"/>
                  <w:szCs w:val="18"/>
                  <w:color w:val="0000FF"/>
                  <w:w w:val="99"/>
                </w:rPr>
                <w:t>Company's Quarterly Report on Form 10-Q for the period ended April 2, 2022.</w:t>
              </w:r>
            </w:hyperlink>
          </w:p>
        </w:tc>
        <w:tc>
          <w:tcPr>
            <w:tcW w:w="3120" w:type="dxa"/>
            <w:vAlign w:val="bottom"/>
            <w:tcBorders>
              <w:top w:val="single" w:sz="8" w:color="0000FF"/>
            </w:tcBorders>
            <w:gridSpan w:val="23"/>
          </w:tcPr>
          <w:p>
            <w:pPr>
              <w:spacing w:after="0"/>
              <w:rPr>
                <w:sz w:val="13"/>
                <w:szCs w:val="13"/>
                <w:color w:val="auto"/>
              </w:rPr>
            </w:pPr>
          </w:p>
        </w:tc>
        <w:tc>
          <w:tcPr>
            <w:tcW w:w="120" w:type="dxa"/>
            <w:vAlign w:val="bottom"/>
            <w:gridSpan w:val="6"/>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60" w:type="dxa"/>
            <w:vAlign w:val="bottom"/>
            <w:gridSpan w:val="52"/>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Employment Agreement between Christopher E. Hufnagel and the Company, dated September 7, 2023.* Incorporated</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40" w:type="dxa"/>
            <w:vAlign w:val="bottom"/>
            <w:tcBorders>
              <w:top w:val="single" w:sz="8" w:color="0000FF"/>
            </w:tcBorders>
            <w:gridSpan w:val="51"/>
          </w:tcPr>
          <w:p>
            <w:pPr>
              <w:spacing w:after="0" w:line="156"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by reference to Exhibit 10.1 to the Company's Quarterly Report on Form 10-Q for the period ended September 30,</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3"/>
              </w:rPr>
            </w:pPr>
            <w:hyperlink r:id="rId117">
              <w:r>
                <w:rPr>
                  <w:rFonts w:ascii="Times New Roman" w:cs="Times New Roman" w:eastAsia="Times New Roman" w:hAnsi="Times New Roman"/>
                  <w:sz w:val="18"/>
                  <w:szCs w:val="18"/>
                  <w:color w:val="0000FF"/>
                  <w:w w:val="93"/>
                </w:rPr>
                <w:t>2023.</w:t>
              </w:r>
            </w:hyperlink>
          </w:p>
        </w:tc>
        <w:tc>
          <w:tcPr>
            <w:tcW w:w="26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60" w:type="dxa"/>
            <w:vAlign w:val="bottom"/>
            <w:gridSpan w:val="52"/>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Transition Agreement between Wolverine World Wide, Inc. and Michael D. Stornant dated as of May 7, 2024.*</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40" w:type="dxa"/>
            <w:vAlign w:val="bottom"/>
            <w:tcBorders>
              <w:top w:val="single" w:sz="8" w:color="0000FF"/>
            </w:tcBorders>
            <w:gridSpan w:val="36"/>
          </w:tcPr>
          <w:p>
            <w:pPr>
              <w:spacing w:after="0" w:line="15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Incorporated by reference to Exhibit 10.2 to the Company's Quarterly Report on Form 10-Q for the period ended June</w:t>
              </w:r>
            </w:hyperlink>
          </w:p>
        </w:tc>
        <w:tc>
          <w:tcPr>
            <w:tcW w:w="200" w:type="dxa"/>
            <w:vAlign w:val="bottom"/>
            <w:gridSpan w:val="10"/>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4"/>
              </w:rPr>
            </w:pPr>
            <w:hyperlink r:id="rId118">
              <w:r>
                <w:rPr>
                  <w:rFonts w:ascii="Times New Roman" w:cs="Times New Roman" w:eastAsia="Times New Roman" w:hAnsi="Times New Roman"/>
                  <w:sz w:val="18"/>
                  <w:szCs w:val="18"/>
                  <w:color w:val="0000FF"/>
                  <w:w w:val="94"/>
                </w:rPr>
                <w:t>29, 2024.</w:t>
              </w:r>
            </w:hyperlink>
          </w:p>
        </w:tc>
        <w:tc>
          <w:tcPr>
            <w:tcW w:w="5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60" w:type="dxa"/>
            <w:vAlign w:val="bottom"/>
            <w:gridSpan w:val="52"/>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Amended and Restated Benefit Trust Agreement dated April 25, 2007.* Incorporated by reference to Exhibit 10.5 to the</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8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119">
              <w:r>
                <w:rPr>
                  <w:rFonts w:ascii="Times New Roman" w:cs="Times New Roman" w:eastAsia="Times New Roman" w:hAnsi="Times New Roman"/>
                  <w:sz w:val="18"/>
                  <w:szCs w:val="18"/>
                  <w:color w:val="0000FF"/>
                  <w:w w:val="99"/>
                </w:rPr>
                <w:t>Company’s Current Report on Form 8-K filed on April 25, 2007.</w:t>
              </w:r>
            </w:hyperlink>
          </w:p>
        </w:tc>
        <w:tc>
          <w:tcPr>
            <w:tcW w:w="4040" w:type="dxa"/>
            <w:vAlign w:val="bottom"/>
            <w:tcBorders>
              <w:top w:val="single" w:sz="8" w:color="0000FF"/>
            </w:tcBorders>
            <w:gridSpan w:val="20"/>
          </w:tcPr>
          <w:p>
            <w:pPr>
              <w:spacing w:after="0"/>
              <w:rPr>
                <w:sz w:val="13"/>
                <w:szCs w:val="13"/>
                <w:color w:val="auto"/>
              </w:rPr>
            </w:pPr>
          </w:p>
        </w:tc>
        <w:tc>
          <w:tcPr>
            <w:tcW w:w="340" w:type="dxa"/>
            <w:vAlign w:val="bottom"/>
            <w:gridSpan w:val="17"/>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10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120">
              <w:r>
                <w:rPr>
                  <w:rFonts w:ascii="Times New Roman" w:cs="Times New Roman" w:eastAsia="Times New Roman" w:hAnsi="Times New Roman"/>
                  <w:sz w:val="18"/>
                  <w:szCs w:val="18"/>
                  <w:color w:val="0000FF"/>
                  <w:w w:val="99"/>
                </w:rPr>
                <w:t>409A Supplemental Executive Retirement Plan (2008 Restatement through First Amendment).* Incorporated by</w:t>
              </w:r>
            </w:hyperlink>
          </w:p>
        </w:tc>
        <w:tc>
          <w:tcPr>
            <w:tcW w:w="960" w:type="dxa"/>
            <w:vAlign w:val="bottom"/>
            <w:gridSpan w:val="27"/>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60" w:type="dxa"/>
            <w:vAlign w:val="bottom"/>
            <w:gridSpan w:val="52"/>
          </w:tcPr>
          <w:p>
            <w:pPr>
              <w:spacing w:after="0" w:line="15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 xml:space="preserve">reference to Exhibit 10.4 to the Company’s Quarterly Report on Form 10-Q for the period ended April 1, 2017. </w:t>
              </w:r>
            </w:hyperlink>
            <w:r>
              <w:rPr>
                <w:rFonts w:ascii="Times New Roman" w:cs="Times New Roman" w:eastAsia="Times New Roman" w:hAnsi="Times New Roman"/>
                <w:sz w:val="18"/>
                <w:szCs w:val="18"/>
                <w:color w:val="0000FF"/>
              </w:rPr>
              <w:t>A</w:t>
            </w:r>
          </w:p>
        </w:tc>
        <w:tc>
          <w:tcPr>
            <w:tcW w:w="0" w:type="dxa"/>
            <w:vAlign w:val="bottom"/>
          </w:tcPr>
          <w:p>
            <w:pPr>
              <w:spacing w:after="0"/>
              <w:rPr>
                <w:sz w:val="1"/>
                <w:szCs w:val="1"/>
                <w:color w:val="auto"/>
              </w:rPr>
            </w:pPr>
          </w:p>
        </w:tc>
      </w:tr>
      <w:tr>
        <w:trPr>
          <w:trHeight w:val="136"/>
        </w:trPr>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0" w:type="dxa"/>
            <w:vAlign w:val="bottom"/>
            <w:tcBorders>
              <w:top w:val="single" w:sz="8" w:color="0000FF"/>
            </w:tcBorders>
            <w:gridSpan w:val="23"/>
          </w:tcPr>
          <w:p>
            <w:pPr>
              <w:spacing w:after="0" w:line="136" w:lineRule="exact"/>
              <w:rPr>
                <w:sz w:val="20"/>
                <w:szCs w:val="20"/>
                <w:color w:val="auto"/>
              </w:rPr>
            </w:pPr>
            <w:r>
              <w:rPr>
                <w:rFonts w:ascii="Times New Roman" w:cs="Times New Roman" w:eastAsia="Times New Roman" w:hAnsi="Times New Roman"/>
                <w:sz w:val="15"/>
                <w:szCs w:val="15"/>
                <w:color w:val="0000FF"/>
              </w:rPr>
              <w:t>participant schedule of current executive officers who participate in this plan is attached as Exhibit 10.17.</w:t>
            </w:r>
          </w:p>
        </w:tc>
        <w:tc>
          <w:tcPr>
            <w:tcW w:w="40" w:type="dxa"/>
            <w:vAlign w:val="bottom"/>
          </w:tcPr>
          <w:p>
            <w:pPr>
              <w:spacing w:after="0"/>
              <w:rPr>
                <w:sz w:val="11"/>
                <w:szCs w:val="11"/>
                <w:color w:val="auto"/>
              </w:rPr>
            </w:pPr>
          </w:p>
        </w:tc>
        <w:tc>
          <w:tcPr>
            <w:tcW w:w="120" w:type="dxa"/>
            <w:vAlign w:val="bottom"/>
            <w:tcBorders>
              <w:top w:val="single" w:sz="8" w:color="0000FF"/>
            </w:tcBorders>
            <w:gridSpan w:val="2"/>
          </w:tcPr>
          <w:p>
            <w:pPr>
              <w:spacing w:after="0"/>
              <w:rPr>
                <w:sz w:val="11"/>
                <w:szCs w:val="11"/>
                <w:color w:val="auto"/>
              </w:rPr>
            </w:pPr>
          </w:p>
        </w:tc>
        <w:tc>
          <w:tcPr>
            <w:tcW w:w="900" w:type="dxa"/>
            <w:vAlign w:val="bottom"/>
            <w:gridSpan w:val="26"/>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00"/>
          </w:cols>
          <w:pgMar w:left="980" w:top="1005" w:right="111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61"/>
        </w:trPr>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9040" w:type="dxa"/>
            <w:vAlign w:val="bottom"/>
            <w:gridSpan w:val="34"/>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Document</w:t>
            </w:r>
          </w:p>
        </w:tc>
        <w:tc>
          <w:tcPr>
            <w:tcW w:w="0" w:type="dxa"/>
            <w:vAlign w:val="bottom"/>
          </w:tcPr>
          <w:p>
            <w:pPr>
              <w:spacing w:after="0"/>
              <w:rPr>
                <w:sz w:val="1"/>
                <w:szCs w:val="1"/>
                <w:color w:val="auto"/>
              </w:rPr>
            </w:pPr>
          </w:p>
        </w:tc>
      </w:tr>
      <w:tr>
        <w:trPr>
          <w:trHeight w:val="196"/>
        </w:trPr>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9040" w:type="dxa"/>
            <w:vAlign w:val="bottom"/>
            <w:gridSpan w:val="3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920" w:type="dxa"/>
            <w:vAlign w:val="bottom"/>
            <w:tcBorders>
              <w:top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w w:val="98"/>
              </w:rPr>
              <w:t>10.18</w:t>
            </w:r>
          </w:p>
        </w:tc>
        <w:tc>
          <w:tcPr>
            <w:tcW w:w="1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040" w:type="dxa"/>
            <w:vAlign w:val="bottom"/>
            <w:tcBorders>
              <w:top w:val="single" w:sz="8" w:color="auto"/>
            </w:tcBorders>
            <w:gridSpan w:val="34"/>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Second Amendment to the 409A Supplemental Executive Retirement Plan.* Incorporated by reference to Exhibit 10.1</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6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to the Company's Quarterly Report on Form 10-Q for the period ended June 29, 2024.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w w:val="98"/>
              </w:rPr>
              <w:t>10.19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40" w:type="dxa"/>
            <w:vAlign w:val="bottom"/>
            <w:gridSpan w:val="34"/>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Employees’ Pension Plan (Restated as amended through December 29, 2017).* Incorporated by reference to Exhibit</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2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13</w:t>
              </w:r>
              <w:r>
                <w:rPr>
                  <w:rFonts w:ascii="Times New Roman" w:cs="Times New Roman" w:eastAsia="Times New Roman" w:hAnsi="Times New Roman"/>
                  <w:sz w:val="18"/>
                  <w:szCs w:val="18"/>
                  <w:color w:val="0000FF"/>
                </w:rPr>
                <w:t xml:space="preserve"> to the Company's Annual Report on Form 10-K for the fiscal year ended December 30, 2017.</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w w:val="98"/>
              </w:rPr>
              <w:t>10.20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40" w:type="dxa"/>
            <w:vAlign w:val="bottom"/>
            <w:gridSpan w:val="34"/>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Sixth Amendment to the Wolverine Employees' Pension Plan.* Incorporated by reference to Exhibit 10.34 to the</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4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24">
              <w:r>
                <w:rPr>
                  <w:rFonts w:ascii="Times New Roman" w:cs="Times New Roman" w:eastAsia="Times New Roman" w:hAnsi="Times New Roman"/>
                  <w:sz w:val="18"/>
                  <w:szCs w:val="18"/>
                  <w:color w:val="0000FF"/>
                  <w:w w:val="99"/>
                </w:rPr>
                <w:t>Company's Form 10-K for the fiscal year ended December 29, 2018.</w:t>
              </w:r>
            </w:hyperlink>
          </w:p>
        </w:tc>
        <w:tc>
          <w:tcPr>
            <w:tcW w:w="382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2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w w:val="98"/>
              </w:rPr>
              <w:t>10.21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40" w:type="dxa"/>
            <w:vAlign w:val="bottom"/>
            <w:gridSpan w:val="34"/>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First Amendment to the Wolverine Employees' Pension Plan, dated as of December 2, 2020.* Incorporated by reference</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6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to Exhibit 10.41 to the Company's Annual Report on Form 10-K for the fiscal year ended January 2, 2021.</w:t>
              </w:r>
            </w:hyperlink>
          </w:p>
        </w:tc>
        <w:tc>
          <w:tcPr>
            <w:tcW w:w="118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2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w w:val="98"/>
              </w:rPr>
              <w:t>10.22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40" w:type="dxa"/>
            <w:vAlign w:val="bottom"/>
            <w:gridSpan w:val="34"/>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Second Amendment to the Wolverine Employees' Pension Plan, dated as of December 9, 2021.* Incorporated by</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8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126">
              <w:r>
                <w:rPr>
                  <w:rFonts w:ascii="Times New Roman" w:cs="Times New Roman" w:eastAsia="Times New Roman" w:hAnsi="Times New Roman"/>
                  <w:sz w:val="18"/>
                  <w:szCs w:val="18"/>
                  <w:color w:val="0000FF"/>
                  <w:w w:val="99"/>
                </w:rPr>
                <w:t>reference to Exhibit 10.20 to the Company's Annual Report on Form 10-K for the fiscal year ended January 1, 2022.</w:t>
              </w:r>
            </w:hyperlink>
          </w:p>
        </w:tc>
        <w:tc>
          <w:tcPr>
            <w:tcW w:w="40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2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w w:val="98"/>
              </w:rPr>
              <w:t>10.23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40" w:type="dxa"/>
            <w:vAlign w:val="bottom"/>
            <w:gridSpan w:val="34"/>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Stock Incentive Plan of 2010.* Incorporated by reference to Exhibit 10.1 to the Company’s Registration Statement on</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2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Form S-8 filed on March 4, 2010.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w w:val="98"/>
              </w:rPr>
              <w:t>10.24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40" w:type="dxa"/>
            <w:vAlign w:val="bottom"/>
            <w:gridSpan w:val="34"/>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Amended and Restated Stock Incentive Plan of 2013.* Incorporated by reference to Exhibit 10.38 to the Company’s</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6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Form 10-K for the fiscal year ended December 28, 2013.</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w w:val="98"/>
              </w:rPr>
              <w:t>10.25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40" w:type="dxa"/>
            <w:vAlign w:val="bottom"/>
            <w:gridSpan w:val="34"/>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2016 Form of Non-Qualified Stock Option Agreement.* Incorporated by reference to Exhibit 10.24 to the Company's</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6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29">
              <w:r>
                <w:rPr>
                  <w:rFonts w:ascii="Times New Roman" w:cs="Times New Roman" w:eastAsia="Times New Roman" w:hAnsi="Times New Roman"/>
                  <w:sz w:val="18"/>
                  <w:szCs w:val="18"/>
                  <w:color w:val="0000FF"/>
                  <w:w w:val="99"/>
                </w:rPr>
                <w:t>Annual Report on Form 10-K for the fiscal year ended January 2, 2016.</w:t>
              </w:r>
            </w:hyperlink>
          </w:p>
        </w:tc>
        <w:tc>
          <w:tcPr>
            <w:tcW w:w="3580" w:type="dxa"/>
            <w:vAlign w:val="bottom"/>
            <w:tcBorders>
              <w:top w:val="single" w:sz="8" w:color="0000FF"/>
            </w:tcBorders>
            <w:gridSpan w:val="14"/>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2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w w:val="98"/>
              </w:rPr>
              <w:t>10.26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40" w:type="dxa"/>
            <w:vAlign w:val="bottom"/>
            <w:gridSpan w:val="34"/>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Wolverine World Wide, Inc. Stock Incentive Plan of 2016, as amended and restated.* Incorporated by reference to</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4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30">
              <w:r>
                <w:rPr>
                  <w:rFonts w:ascii="Times New Roman" w:cs="Times New Roman" w:eastAsia="Times New Roman" w:hAnsi="Times New Roman"/>
                  <w:sz w:val="18"/>
                  <w:szCs w:val="18"/>
                  <w:color w:val="0000FF"/>
                  <w:w w:val="99"/>
                </w:rPr>
                <w:t>Appendix B to the Company’s Definitive Proxy Statement filed on March 26, 2021.</w:t>
              </w:r>
            </w:hyperlink>
          </w:p>
        </w:tc>
        <w:tc>
          <w:tcPr>
            <w:tcW w:w="264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2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w w:val="98"/>
              </w:rPr>
              <w:t>10.27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40" w:type="dxa"/>
            <w:vAlign w:val="bottom"/>
            <w:gridSpan w:val="34"/>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Wolverine World Wide, Inc. Stock Incentive Plan of 2024, as amended and restated.* Incorporated by reference to</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2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Appendix B to the Company's Definitive Proxy Statement filed on March 20, 2024.</w:t>
              </w:r>
            </w:hyperlink>
          </w:p>
        </w:tc>
        <w:tc>
          <w:tcPr>
            <w:tcW w:w="266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2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w w:val="98"/>
              </w:rPr>
              <w:t>10.28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40" w:type="dxa"/>
            <w:vAlign w:val="bottom"/>
            <w:gridSpan w:val="34"/>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2021 Form of Restricted Stock Unit Agreement.* Incorporated by reference to Exhibit 10.1 to the Company's Quarterly</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2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32">
              <w:r>
                <w:rPr>
                  <w:rFonts w:ascii="Times New Roman" w:cs="Times New Roman" w:eastAsia="Times New Roman" w:hAnsi="Times New Roman"/>
                  <w:sz w:val="18"/>
                  <w:szCs w:val="18"/>
                  <w:color w:val="0000FF"/>
                  <w:w w:val="99"/>
                </w:rPr>
                <w:t>Report on Form 10-Q for the period ended April 3, 2021.</w:t>
              </w:r>
            </w:hyperlink>
          </w:p>
        </w:tc>
        <w:tc>
          <w:tcPr>
            <w:tcW w:w="4880" w:type="dxa"/>
            <w:vAlign w:val="bottom"/>
            <w:tcBorders>
              <w:top w:val="single" w:sz="8" w:color="0000FF"/>
            </w:tcBorders>
            <w:gridSpan w:val="29"/>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2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w w:val="98"/>
              </w:rPr>
              <w:t>10.29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40" w:type="dxa"/>
            <w:vAlign w:val="bottom"/>
            <w:gridSpan w:val="34"/>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2022 Form of Restricted Stock Unit Agreement.* Incorporated by reference to Exhibit 10.1 to the Company's Quarterly</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2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33">
              <w:r>
                <w:rPr>
                  <w:rFonts w:ascii="Times New Roman" w:cs="Times New Roman" w:eastAsia="Times New Roman" w:hAnsi="Times New Roman"/>
                  <w:sz w:val="18"/>
                  <w:szCs w:val="18"/>
                  <w:color w:val="0000FF"/>
                  <w:w w:val="99"/>
                </w:rPr>
                <w:t>Report on Form 10-Q for the period ended April 2, 2022.</w:t>
              </w:r>
            </w:hyperlink>
          </w:p>
        </w:tc>
        <w:tc>
          <w:tcPr>
            <w:tcW w:w="4880" w:type="dxa"/>
            <w:vAlign w:val="bottom"/>
            <w:tcBorders>
              <w:top w:val="single" w:sz="8" w:color="0000FF"/>
            </w:tcBorders>
            <w:gridSpan w:val="29"/>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2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w w:val="98"/>
              </w:rPr>
              <w:t>10.30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40" w:type="dxa"/>
            <w:vAlign w:val="bottom"/>
            <w:gridSpan w:val="34"/>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2023 Form of Restricted Stock Unit Agreement.* Incorporated by reference to Exhibit 10.1 to the Company's Quarterly</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2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Report on Form 10-Q for the period ended April 1, 2023.</w:t>
              </w:r>
            </w:hyperlink>
          </w:p>
        </w:tc>
        <w:tc>
          <w:tcPr>
            <w:tcW w:w="4880" w:type="dxa"/>
            <w:vAlign w:val="bottom"/>
            <w:tcBorders>
              <w:top w:val="single" w:sz="8" w:color="0000FF"/>
            </w:tcBorders>
            <w:gridSpan w:val="29"/>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2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w w:val="98"/>
              </w:rPr>
              <w:t>10.31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40" w:type="dxa"/>
            <w:vAlign w:val="bottom"/>
            <w:gridSpan w:val="34"/>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Form of Performance Stock Unit Agreement (2022 - 2024 performance period).* Incorporated by reference to Exhibit</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0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FF"/>
                </w:rPr>
                <w:t xml:space="preserve"> to the Company's Quarterly Report on Form 10-Q for the period ended April 2, 2022.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180" w:type="dxa"/>
            <w:vAlign w:val="bottom"/>
            <w:tcBorders>
              <w:right w:val="single" w:sz="8" w:color="0000FF"/>
            </w:tcBorders>
            <w:gridSpan w:val="8"/>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w w:val="98"/>
              </w:rPr>
              <w:t>10.32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40" w:type="dxa"/>
            <w:vAlign w:val="bottom"/>
            <w:gridSpan w:val="34"/>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Form of Performance Stock Unit Agreement (2023 - 2025 performance period).* Incorporated by reference to Exhibit</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0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FF"/>
                </w:rPr>
                <w:t xml:space="preserve"> to the Company's Quarterly Report on Form 10-Q for the period ended April 1, 2023.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180" w:type="dxa"/>
            <w:vAlign w:val="bottom"/>
            <w:tcBorders>
              <w:right w:val="single" w:sz="8" w:color="0000FF"/>
            </w:tcBorders>
            <w:gridSpan w:val="8"/>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w w:val="98"/>
              </w:rPr>
              <w:t>10.33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40" w:type="dxa"/>
            <w:vAlign w:val="bottom"/>
            <w:gridSpan w:val="34"/>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Form of Performance Stock Unit Agreement (2024 - 2026 performance period).* Incorporated by reference to Exhibit</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6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the Company's Quarterly Report on Form 10-Q for the period ended March 30, 2024.</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180" w:type="dxa"/>
            <w:vAlign w:val="bottom"/>
            <w:tcBorders>
              <w:right w:val="single" w:sz="8" w:color="0000FF"/>
            </w:tcBorders>
            <w:gridSpan w:val="8"/>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w w:val="98"/>
              </w:rPr>
              <w:t>10.34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40" w:type="dxa"/>
            <w:vAlign w:val="bottom"/>
            <w:gridSpan w:val="34"/>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Credit Agreement, dated as of July 31, 2012, by and among Wolverine World Wide, Inc., as borrower, JPMorgan Chase</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2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Bank, N.A., as administrative agent and as a lender, J.P. Morgan Europe Limited, as foreign currency agent, Wells Fargo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Bank, National Association, as syndication agent and as a lender, Fifth Third Bank as documentation agent and as a</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700" w:type="dxa"/>
            <w:vAlign w:val="bottom"/>
            <w:tcBorders>
              <w:top w:val="single" w:sz="8" w:color="0000FF"/>
              <w:bottom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lender, and PNC Bank, National Association, as documentation agent and as a lender. Incorporated by reference to</w:t>
              </w:r>
            </w:hyperlink>
          </w:p>
        </w:tc>
        <w:tc>
          <w:tcPr>
            <w:tcW w:w="20" w:type="dxa"/>
            <w:vAlign w:val="bottom"/>
            <w:tcBorders>
              <w:bottom w:val="single" w:sz="8" w:color="0000FF"/>
            </w:tcBorders>
          </w:tcPr>
          <w:p>
            <w:pPr>
              <w:spacing w:after="0"/>
              <w:rPr>
                <w:sz w:val="14"/>
                <w:szCs w:val="14"/>
                <w:color w:val="auto"/>
              </w:rPr>
            </w:pPr>
          </w:p>
        </w:tc>
        <w:tc>
          <w:tcPr>
            <w:tcW w:w="80" w:type="dxa"/>
            <w:vAlign w:val="bottom"/>
            <w:tcBorders>
              <w:bottom w:val="single" w:sz="8" w:color="0000FF"/>
            </w:tcBorders>
            <w:gridSpan w:val="4"/>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180" w:type="dxa"/>
            <w:vAlign w:val="bottom"/>
            <w:tcBorders>
              <w:bottom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Exhibit 10.1 to the Company’s Current Report on Form 8-K filed on August 1, 2012.</w:t>
              </w:r>
            </w:hyperlink>
          </w:p>
        </w:tc>
        <w:tc>
          <w:tcPr>
            <w:tcW w:w="2700" w:type="dxa"/>
            <w:vAlign w:val="bottom"/>
            <w:gridSpan w:val="18"/>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2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w w:val="98"/>
              </w:rPr>
              <w:t>10.35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40" w:type="dxa"/>
            <w:vAlign w:val="bottom"/>
            <w:gridSpan w:val="34"/>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First Amendment to Credit Agreement, dated as of September 28, 2012, by and among Wolverine World Wide, Inc., as</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0" w:type="dxa"/>
            <w:vAlign w:val="bottom"/>
            <w:tcBorders>
              <w:top w:val="single" w:sz="8" w:color="0000FF"/>
              <w:bottom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borrower, JPMorgan Chase Bank, N.A., as administrative agent and as a lender, J.P. Morgan Europe Limited, as foreign</w:t>
              </w:r>
            </w:hyperlink>
          </w:p>
        </w:tc>
        <w:tc>
          <w:tcPr>
            <w:tcW w:w="40" w:type="dxa"/>
            <w:vAlign w:val="bottom"/>
            <w:tcBorders>
              <w:bottom w:val="single" w:sz="8" w:color="0000FF"/>
            </w:tcBorders>
            <w:gridSpan w:val="2"/>
          </w:tcPr>
          <w:p>
            <w:pPr>
              <w:spacing w:after="0"/>
              <w:rPr>
                <w:sz w:val="13"/>
                <w:szCs w:val="13"/>
                <w:color w:val="auto"/>
              </w:rPr>
            </w:pPr>
          </w:p>
        </w:tc>
        <w:tc>
          <w:tcPr>
            <w:tcW w:w="100" w:type="dxa"/>
            <w:vAlign w:val="bottom"/>
            <w:tcBorders>
              <w:bottom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40" w:type="dxa"/>
            <w:vAlign w:val="bottom"/>
            <w:gridSpan w:val="29"/>
          </w:tcPr>
          <w:p>
            <w:pPr>
              <w:spacing w:after="0" w:line="15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currency agent, Wells Fargo Bank, National Association, as syndication agent and as a lender, Fifth Third Bank as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720" w:type="dxa"/>
            <w:vAlign w:val="bottom"/>
            <w:tcBorders>
              <w:top w:val="single" w:sz="8" w:color="0000FF"/>
              <w:bottom w:val="single" w:sz="8" w:color="0000FF"/>
            </w:tcBorders>
            <w:gridSpan w:val="18"/>
          </w:tcPr>
          <w:p>
            <w:pPr>
              <w:spacing w:after="0" w:line="169"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documentation agent and as a lender, and PNC Bank, National Association, as documentation agent and as a lender.</w:t>
              </w:r>
            </w:hyperlink>
          </w:p>
        </w:tc>
        <w:tc>
          <w:tcPr>
            <w:tcW w:w="120" w:type="dxa"/>
            <w:vAlign w:val="bottom"/>
            <w:tcBorders>
              <w:bottom w:val="single" w:sz="8" w:color="0000FF"/>
            </w:tcBorders>
            <w:gridSpan w:val="6"/>
          </w:tcPr>
          <w:p>
            <w:pPr>
              <w:spacing w:after="0"/>
              <w:rPr>
                <w:sz w:val="14"/>
                <w:szCs w:val="14"/>
                <w:color w:val="auto"/>
              </w:rPr>
            </w:pPr>
          </w:p>
        </w:tc>
        <w:tc>
          <w:tcPr>
            <w:tcW w:w="120" w:type="dxa"/>
            <w:vAlign w:val="bottom"/>
            <w:tcBorders>
              <w:bottom w:val="single" w:sz="8" w:color="0000FF"/>
            </w:tcBorders>
            <w:gridSpan w:val="6"/>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00" w:type="dxa"/>
            <w:vAlign w:val="bottom"/>
            <w:tcBorders>
              <w:bottom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Incorporated by reference to Exhibit 10.1 to the Company’s Current Report on Form 8-K filed on October 4, 2012.</w:t>
              </w:r>
            </w:hyperlink>
          </w:p>
        </w:tc>
        <w:tc>
          <w:tcPr>
            <w:tcW w:w="680" w:type="dxa"/>
            <w:vAlign w:val="bottom"/>
            <w:gridSpan w:val="18"/>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2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w w:val="98"/>
              </w:rPr>
              <w:t>10.36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40" w:type="dxa"/>
            <w:vAlign w:val="bottom"/>
            <w:gridSpan w:val="34"/>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Second Amendment to the Credit Agreement, dated as of October 8, 2012, among Wolverine World Wide, Inc., as</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6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borrower, JPMorgan Chase Bank, N.A., as administrative agent and as a lender, J.P. Morgan Europe Limited, as foreign</w:t>
              </w:r>
            </w:hyperlink>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60" w:type="dxa"/>
            <w:vAlign w:val="bottom"/>
            <w:tcBorders>
              <w:top w:val="single" w:sz="8" w:color="0000FF"/>
              <w:bottom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currency agent, Wells Fargo Bank, National Association, as syndication agent and as a lender, Fifth Third Bank, as</w:t>
              </w:r>
            </w:hyperlink>
          </w:p>
        </w:tc>
        <w:tc>
          <w:tcPr>
            <w:tcW w:w="80" w:type="dxa"/>
            <w:vAlign w:val="bottom"/>
            <w:tcBorders>
              <w:top w:val="single" w:sz="8" w:color="0000FF"/>
            </w:tcBorders>
            <w:gridSpan w:val="4"/>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bl>
    <w:p>
      <w:pPr>
        <w:ind w:left="1100"/>
        <w:spacing w:after="0" w:line="205" w:lineRule="auto"/>
        <w:rPr>
          <w:rFonts w:ascii="Times New Roman" w:cs="Times New Roman" w:eastAsia="Times New Roman" w:hAnsi="Times New Roman"/>
          <w:sz w:val="18"/>
          <w:szCs w:val="18"/>
          <w:u w:val="single" w:color="auto"/>
          <w:color w:val="0000FF"/>
        </w:rPr>
      </w:pPr>
      <w:hyperlink r:id="rId140">
        <w:r>
          <w:rPr>
            <w:rFonts w:ascii="Times New Roman" w:cs="Times New Roman" w:eastAsia="Times New Roman" w:hAnsi="Times New Roman"/>
            <w:sz w:val="18"/>
            <w:szCs w:val="18"/>
            <w:u w:val="single" w:color="auto"/>
            <w:color w:val="0000FF"/>
          </w:rPr>
          <w:t>documentation agent and as a lender, and PNC Bank, National Association, as documentation agent and as a lender.</w:t>
        </w:r>
      </w:hyperlink>
    </w:p>
    <w:p>
      <w:pPr>
        <w:ind w:left="1100"/>
        <w:spacing w:after="0"/>
        <w:rPr>
          <w:rFonts w:ascii="Times New Roman" w:cs="Times New Roman" w:eastAsia="Times New Roman" w:hAnsi="Times New Roman"/>
          <w:sz w:val="18"/>
          <w:szCs w:val="18"/>
          <w:u w:val="single" w:color="auto"/>
          <w:color w:val="0000FF"/>
        </w:rPr>
      </w:pPr>
      <w:hyperlink r:id="rId140">
        <w:r>
          <w:rPr>
            <w:rFonts w:ascii="Times New Roman" w:cs="Times New Roman" w:eastAsia="Times New Roman" w:hAnsi="Times New Roman"/>
            <w:sz w:val="18"/>
            <w:szCs w:val="18"/>
            <w:u w:val="single" w:color="auto"/>
            <w:color w:val="0000FF"/>
          </w:rPr>
          <w:t>Incorporated by reference to Exhibit 10.1 to the Company’s Current Report on Form 8-K filed on October 9, 2012.</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00"/>
          </w:cols>
          <w:pgMar w:left="980" w:top="1005" w:right="111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61"/>
        </w:trPr>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9300" w:type="dxa"/>
            <w:vAlign w:val="bottom"/>
            <w:gridSpan w:val="4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Document</w:t>
            </w:r>
          </w:p>
        </w:tc>
        <w:tc>
          <w:tcPr>
            <w:tcW w:w="0" w:type="dxa"/>
            <w:vAlign w:val="bottom"/>
          </w:tcPr>
          <w:p>
            <w:pPr>
              <w:spacing w:after="0"/>
              <w:rPr>
                <w:sz w:val="1"/>
                <w:szCs w:val="1"/>
                <w:color w:val="auto"/>
              </w:rPr>
            </w:pPr>
          </w:p>
        </w:tc>
      </w:tr>
      <w:tr>
        <w:trPr>
          <w:trHeight w:val="196"/>
        </w:trPr>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9300" w:type="dxa"/>
            <w:vAlign w:val="bottom"/>
            <w:gridSpan w:val="4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920" w:type="dxa"/>
            <w:vAlign w:val="bottom"/>
            <w:tcBorders>
              <w:top w:val="single" w:sz="8" w:color="auto"/>
            </w:tcBorders>
          </w:tcPr>
          <w:p>
            <w:pPr>
              <w:jc w:val="right"/>
              <w:ind w:right="413"/>
              <w:spacing w:after="0"/>
              <w:rPr>
                <w:sz w:val="20"/>
                <w:szCs w:val="20"/>
                <w:color w:val="auto"/>
              </w:rPr>
            </w:pPr>
            <w:r>
              <w:rPr>
                <w:rFonts w:ascii="Times New Roman" w:cs="Times New Roman" w:eastAsia="Times New Roman" w:hAnsi="Times New Roman"/>
                <w:sz w:val="18"/>
                <w:szCs w:val="18"/>
                <w:color w:val="auto"/>
                <w:w w:val="98"/>
              </w:rPr>
              <w:t>10.37</w:t>
            </w:r>
          </w:p>
        </w:tc>
        <w:tc>
          <w:tcPr>
            <w:tcW w:w="1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300" w:type="dxa"/>
            <w:vAlign w:val="bottom"/>
            <w:tcBorders>
              <w:top w:val="single" w:sz="8" w:color="auto"/>
            </w:tcBorders>
            <w:gridSpan w:val="42"/>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Replacement Facility Amendment, dated as of October 10, 2013, to the Amended and Restated Credit Agreement</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0" w:type="dxa"/>
            <w:vAlign w:val="bottom"/>
            <w:tcBorders>
              <w:top w:val="single" w:sz="8" w:color="0000FF"/>
            </w:tcBorders>
            <w:gridSpan w:val="37"/>
          </w:tcPr>
          <w:p>
            <w:pPr>
              <w:spacing w:after="0" w:line="15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among Wolverine World Wide, Inc., the lenders party thereto, and JPMorgan Chase Bank, N.A. as administrative agent.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2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Incorporated by reference to Exhibit 10.1 to the Company's Current Report on Form 8-K filed on October 11, 2013.</w:t>
              </w:r>
            </w:hyperlink>
          </w:p>
        </w:tc>
        <w:tc>
          <w:tcPr>
            <w:tcW w:w="62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20" w:type="dxa"/>
            <w:vAlign w:val="bottom"/>
          </w:tcPr>
          <w:p>
            <w:pPr>
              <w:jc w:val="right"/>
              <w:ind w:right="413"/>
              <w:spacing w:after="0"/>
              <w:rPr>
                <w:sz w:val="20"/>
                <w:szCs w:val="20"/>
                <w:color w:val="auto"/>
              </w:rPr>
            </w:pPr>
            <w:r>
              <w:rPr>
                <w:rFonts w:ascii="Times New Roman" w:cs="Times New Roman" w:eastAsia="Times New Roman" w:hAnsi="Times New Roman"/>
                <w:sz w:val="18"/>
                <w:szCs w:val="18"/>
                <w:color w:val="auto"/>
                <w:w w:val="98"/>
              </w:rPr>
              <w:t>10.38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300" w:type="dxa"/>
            <w:vAlign w:val="bottom"/>
            <w:gridSpan w:val="42"/>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Omnibus Amendment, dated as of December 19, 2014 to the Amended and Restated Credit Agreement dated as of</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0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October 10, 2013 among Wolverine World Wide, Inc., the lenders party thereto, Wells Fargo Bank, National</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60" w:type="dxa"/>
            <w:vAlign w:val="bottom"/>
            <w:tcBorders>
              <w:top w:val="single" w:sz="8" w:color="0000FF"/>
              <w:bottom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Association, as syndication agent, Bank of America, N.A., Fifth Third Bank, PNC Bank, National Association,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0" w:type="dxa"/>
            <w:vAlign w:val="bottom"/>
            <w:tcBorders>
              <w:bottom w:val="single" w:sz="8" w:color="0000FF"/>
            </w:tcBorders>
            <w:gridSpan w:val="27"/>
          </w:tcPr>
          <w:p>
            <w:pPr>
              <w:spacing w:after="0" w:line="169"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Sumitomo Mitsui Banking Corporation, Union Bank, N.A., And BBVA Compass Bank, as co-documentation agents,</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40" w:type="dxa"/>
            <w:vAlign w:val="bottom"/>
            <w:gridSpan w:val="29"/>
          </w:tcPr>
          <w:p>
            <w:pPr>
              <w:spacing w:after="0" w:line="15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J.P. Morgan Europe Limited, as foreign currency agent, and JPMorgan Chase Bank, N.A., as administrative agent.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8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Incorporated by reference to Exhibit 10.45 to the Company’s Annual Report on Form 10-K filed on March 3, 2015.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4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tcPr>
          <w:p>
            <w:pPr>
              <w:jc w:val="right"/>
              <w:ind w:right="413"/>
              <w:spacing w:after="0"/>
              <w:rPr>
                <w:sz w:val="20"/>
                <w:szCs w:val="20"/>
                <w:color w:val="auto"/>
              </w:rPr>
            </w:pPr>
            <w:r>
              <w:rPr>
                <w:rFonts w:ascii="Times New Roman" w:cs="Times New Roman" w:eastAsia="Times New Roman" w:hAnsi="Times New Roman"/>
                <w:sz w:val="18"/>
                <w:szCs w:val="18"/>
                <w:color w:val="auto"/>
                <w:w w:val="98"/>
              </w:rPr>
              <w:t>10.39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300" w:type="dxa"/>
            <w:vAlign w:val="bottom"/>
            <w:gridSpan w:val="42"/>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Replacement Facility Amendment, dated as of July 13, 2015, among Wolverine World Wide, Inc., JP Morgan Chase</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Bank, N.A., as administrative agent and as a lender, J.P. Morgan Europe Limited, as foreign currency agent, Wells Fargo</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40" w:type="dxa"/>
            <w:vAlign w:val="bottom"/>
            <w:gridSpan w:val="39"/>
          </w:tcPr>
          <w:p>
            <w:pPr>
              <w:spacing w:after="0" w:line="15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Bank, National Association and MUFG Union Bank, N.A., as co-syndication agents and lenders, and the other lenders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740" w:type="dxa"/>
            <w:vAlign w:val="bottom"/>
            <w:tcBorders>
              <w:top w:val="single" w:sz="8" w:color="0000FF"/>
            </w:tcBorders>
            <w:gridSpan w:val="14"/>
          </w:tcPr>
          <w:p>
            <w:pPr>
              <w:spacing w:after="0" w:line="169"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party thereto. Incorporated by reference to Exhibit 10.1 to the Company’s Current Report on Form 8-K filed on July 15,</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8"/>
              </w:rPr>
            </w:pPr>
            <w:hyperlink r:id="rId144">
              <w:r>
                <w:rPr>
                  <w:rFonts w:ascii="Times New Roman" w:cs="Times New Roman" w:eastAsia="Times New Roman" w:hAnsi="Times New Roman"/>
                  <w:sz w:val="18"/>
                  <w:szCs w:val="18"/>
                  <w:color w:val="0000FF"/>
                  <w:w w:val="98"/>
                </w:rPr>
                <w:t>2015.</w:t>
              </w:r>
            </w:hyperlink>
          </w:p>
        </w:tc>
        <w:tc>
          <w:tcPr>
            <w:tcW w:w="1040" w:type="dxa"/>
            <w:vAlign w:val="bottom"/>
            <w:tcBorders>
              <w:top w:val="single" w:sz="8" w:color="0000FF"/>
            </w:tcBorders>
          </w:tcPr>
          <w:p>
            <w:pPr>
              <w:spacing w:after="0"/>
              <w:rPr>
                <w:sz w:val="13"/>
                <w:szCs w:val="13"/>
                <w:color w:val="auto"/>
              </w:rPr>
            </w:pPr>
          </w:p>
        </w:tc>
        <w:tc>
          <w:tcPr>
            <w:tcW w:w="344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104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20" w:type="dxa"/>
            <w:vAlign w:val="bottom"/>
          </w:tcPr>
          <w:p>
            <w:pPr>
              <w:jc w:val="right"/>
              <w:ind w:right="413"/>
              <w:spacing w:after="0"/>
              <w:rPr>
                <w:sz w:val="20"/>
                <w:szCs w:val="20"/>
                <w:color w:val="auto"/>
              </w:rPr>
            </w:pPr>
            <w:r>
              <w:rPr>
                <w:rFonts w:ascii="Times New Roman" w:cs="Times New Roman" w:eastAsia="Times New Roman" w:hAnsi="Times New Roman"/>
                <w:sz w:val="18"/>
                <w:szCs w:val="18"/>
                <w:color w:val="auto"/>
                <w:w w:val="98"/>
              </w:rPr>
              <w:t>10.40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300" w:type="dxa"/>
            <w:vAlign w:val="bottom"/>
            <w:gridSpan w:val="42"/>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First Amendment, dated September 15, 2016, to the Amended and Restated Credit Agreement, dated July 13, 2015,</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20" w:type="dxa"/>
            <w:vAlign w:val="bottom"/>
            <w:tcBorders>
              <w:top w:val="single" w:sz="8" w:color="0000FF"/>
              <w:bottom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among Wolverine World Wide, Inc., as parent borrower, the several banks and other financial institutions or entities</w:t>
              </w:r>
            </w:hyperlink>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gridSpan w:val="41"/>
          </w:tcPr>
          <w:p>
            <w:pPr>
              <w:spacing w:after="0" w:line="15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from time to time parties thereto, the several agents and other financial institutions or entities from time to time parties</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140" w:type="dxa"/>
            <w:vAlign w:val="bottom"/>
            <w:tcBorders>
              <w:top w:val="single" w:sz="8" w:color="0000FF"/>
            </w:tcBorders>
            <w:gridSpan w:val="34"/>
          </w:tcPr>
          <w:p>
            <w:pPr>
              <w:spacing w:after="0" w:line="169"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thereto, J.P. Morgan Europe Limited, as foreign currency agent, and JPMorgan Chase Bank, N.A., as administrative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2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agent. Incorporated by reference to Exhibit 10.1 to the Company Current Report on Form 8-K, filed on September 19,</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3"/>
              </w:rPr>
            </w:pPr>
            <w:hyperlink r:id="rId145">
              <w:r>
                <w:rPr>
                  <w:rFonts w:ascii="Times New Roman" w:cs="Times New Roman" w:eastAsia="Times New Roman" w:hAnsi="Times New Roman"/>
                  <w:sz w:val="18"/>
                  <w:szCs w:val="18"/>
                  <w:color w:val="0000FF"/>
                  <w:w w:val="93"/>
                </w:rPr>
                <w:t>2016.</w:t>
              </w:r>
            </w:hyperlink>
          </w:p>
        </w:tc>
        <w:tc>
          <w:tcPr>
            <w:tcW w:w="20" w:type="dxa"/>
            <w:vAlign w:val="bottom"/>
            <w:tcBorders>
              <w:top w:val="single" w:sz="8" w:color="0000FF"/>
            </w:tcBorders>
          </w:tcPr>
          <w:p>
            <w:pPr>
              <w:spacing w:after="0"/>
              <w:rPr>
                <w:sz w:val="13"/>
                <w:szCs w:val="13"/>
                <w:color w:val="auto"/>
              </w:rPr>
            </w:pPr>
          </w:p>
        </w:tc>
        <w:tc>
          <w:tcPr>
            <w:tcW w:w="1040" w:type="dxa"/>
            <w:vAlign w:val="bottom"/>
            <w:tcBorders>
              <w:top w:val="single" w:sz="8" w:color="0000FF"/>
            </w:tcBorders>
          </w:tcPr>
          <w:p>
            <w:pPr>
              <w:spacing w:after="0"/>
              <w:rPr>
                <w:sz w:val="13"/>
                <w:szCs w:val="13"/>
                <w:color w:val="auto"/>
              </w:rPr>
            </w:pPr>
          </w:p>
        </w:tc>
        <w:tc>
          <w:tcPr>
            <w:tcW w:w="344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104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20" w:type="dxa"/>
            <w:vAlign w:val="bottom"/>
          </w:tcPr>
          <w:p>
            <w:pPr>
              <w:jc w:val="right"/>
              <w:ind w:right="413"/>
              <w:spacing w:after="0"/>
              <w:rPr>
                <w:sz w:val="20"/>
                <w:szCs w:val="20"/>
                <w:color w:val="auto"/>
              </w:rPr>
            </w:pPr>
            <w:r>
              <w:rPr>
                <w:rFonts w:ascii="Times New Roman" w:cs="Times New Roman" w:eastAsia="Times New Roman" w:hAnsi="Times New Roman"/>
                <w:sz w:val="18"/>
                <w:szCs w:val="18"/>
                <w:color w:val="auto"/>
                <w:w w:val="98"/>
              </w:rPr>
              <w:t>10.41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300" w:type="dxa"/>
            <w:vAlign w:val="bottom"/>
            <w:gridSpan w:val="42"/>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2018 Replacement Facility Amendment, dated as of December 6, 2018 among the Company, JP Morgan Chase Bank,</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8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N.A., as administrative agent and as a lender, Wells Fargo Bank, National Association, Bank of America, N.A. and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80" w:type="dxa"/>
            <w:vAlign w:val="bottom"/>
            <w:tcBorders>
              <w:bottom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HSBC Bank USA, N.A., as co-syndication agents and lenders, and the other lenders party thereto. Incorporated by</w:t>
              </w:r>
            </w:hyperlink>
          </w:p>
        </w:tc>
        <w:tc>
          <w:tcPr>
            <w:tcW w:w="60" w:type="dxa"/>
            <w:vAlign w:val="bottom"/>
            <w:tcBorders>
              <w:bottom w:val="single" w:sz="8" w:color="0000FF"/>
            </w:tcBorders>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40" w:type="dxa"/>
            <w:vAlign w:val="bottom"/>
            <w:gridSpan w:val="19"/>
          </w:tcPr>
          <w:p>
            <w:pPr>
              <w:spacing w:after="0" w:line="169"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reference to Exhibit 10.1 to the Company’s Current Report on Form 8-K filed on December 11, 2018.</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34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jc w:val="right"/>
              <w:ind w:right="413"/>
              <w:spacing w:after="0"/>
              <w:rPr>
                <w:sz w:val="20"/>
                <w:szCs w:val="20"/>
                <w:color w:val="auto"/>
              </w:rPr>
            </w:pPr>
            <w:r>
              <w:rPr>
                <w:rFonts w:ascii="Times New Roman" w:cs="Times New Roman" w:eastAsia="Times New Roman" w:hAnsi="Times New Roman"/>
                <w:sz w:val="18"/>
                <w:szCs w:val="18"/>
                <w:color w:val="auto"/>
                <w:w w:val="98"/>
              </w:rPr>
              <w:t>10.42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00" w:type="dxa"/>
            <w:vAlign w:val="bottom"/>
            <w:gridSpan w:val="42"/>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Second Amendment, dated as of May 5, 2020, to the Amended and Restated Credit Agreement, dated as of December 6,</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6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2018, among Wolverine World Wide, Inc., as parent borrower, JPMorgan Chase Bank, N.A., as administrative agent and</w:t>
              </w:r>
            </w:hyperlink>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0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as a lender, the other borrowers party thereto, and the other lenders party thereto. Incorporated by reference to Exhibit</w:t>
              </w:r>
            </w:hyperlink>
          </w:p>
        </w:tc>
        <w:tc>
          <w:tcPr>
            <w:tcW w:w="20" w:type="dxa"/>
            <w:vAlign w:val="bottom"/>
            <w:tcBorders>
              <w:bottom w:val="single" w:sz="8" w:color="0000FF"/>
            </w:tcBorders>
          </w:tcPr>
          <w:p>
            <w:pPr>
              <w:spacing w:after="0"/>
              <w:rPr>
                <w:sz w:val="13"/>
                <w:szCs w:val="13"/>
                <w:color w:val="auto"/>
              </w:rPr>
            </w:pPr>
          </w:p>
        </w:tc>
        <w:tc>
          <w:tcPr>
            <w:tcW w:w="180" w:type="dxa"/>
            <w:vAlign w:val="bottom"/>
            <w:tcBorders>
              <w:bottom w:val="single" w:sz="8" w:color="0000FF"/>
            </w:tcBorders>
            <w:gridSpan w:val="9"/>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180" w:type="dxa"/>
            <w:vAlign w:val="bottom"/>
            <w:gridSpan w:val="36"/>
          </w:tcPr>
          <w:p>
            <w:pPr>
              <w:spacing w:after="0" w:line="169"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the Company’s Current Report on Form 8-K, filed on May 6, 2020.</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34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jc w:val="right"/>
              <w:ind w:right="413"/>
              <w:spacing w:after="0"/>
              <w:rPr>
                <w:sz w:val="20"/>
                <w:szCs w:val="20"/>
                <w:color w:val="auto"/>
              </w:rPr>
            </w:pPr>
            <w:r>
              <w:rPr>
                <w:rFonts w:ascii="Times New Roman" w:cs="Times New Roman" w:eastAsia="Times New Roman" w:hAnsi="Times New Roman"/>
                <w:sz w:val="18"/>
                <w:szCs w:val="18"/>
                <w:color w:val="auto"/>
                <w:w w:val="98"/>
              </w:rPr>
              <w:t>10.43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00" w:type="dxa"/>
            <w:vAlign w:val="bottom"/>
            <w:gridSpan w:val="42"/>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2021 Replacement Facility Amendment and Reaffirmation Agreement, dated as of October 21, 2021, among Wolverine</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60" w:type="dxa"/>
            <w:vAlign w:val="bottom"/>
            <w:tcBorders>
              <w:top w:val="single" w:sz="8" w:color="0000FF"/>
              <w:bottom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World Wide, Inc., as parent borrower, the Additional Borrowers party thereto, JP Morgan Chase Bank, N.A., as</w:t>
              </w:r>
            </w:hyperlink>
          </w:p>
        </w:tc>
        <w:tc>
          <w:tcPr>
            <w:tcW w:w="20" w:type="dxa"/>
            <w:vAlign w:val="bottom"/>
            <w:tcBorders>
              <w:bottom w:val="single" w:sz="8" w:color="0000FF"/>
            </w:tcBorders>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80" w:type="dxa"/>
            <w:vAlign w:val="bottom"/>
            <w:gridSpan w:val="26"/>
          </w:tcPr>
          <w:p>
            <w:pPr>
              <w:spacing w:after="0" w:line="15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administrative agent and as a lender, and the other lenders party thereto. Incorporated by reference to Exhibit 10.1 to the</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0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48">
              <w:r>
                <w:rPr>
                  <w:rFonts w:ascii="Times New Roman" w:cs="Times New Roman" w:eastAsia="Times New Roman" w:hAnsi="Times New Roman"/>
                  <w:sz w:val="18"/>
                  <w:szCs w:val="18"/>
                  <w:color w:val="0000FF"/>
                  <w:w w:val="99"/>
                </w:rPr>
                <w:t>Company's Current Report on Form 8-K, filed on October 25, 2021.</w:t>
              </w:r>
            </w:hyperlink>
          </w:p>
        </w:tc>
        <w:tc>
          <w:tcPr>
            <w:tcW w:w="3820" w:type="dxa"/>
            <w:vAlign w:val="bottom"/>
            <w:tcBorders>
              <w:top w:val="single" w:sz="8" w:color="0000FF"/>
            </w:tcBorders>
            <w:gridSpan w:val="9"/>
          </w:tcPr>
          <w:p>
            <w:pPr>
              <w:spacing w:after="0"/>
              <w:rPr>
                <w:sz w:val="14"/>
                <w:szCs w:val="14"/>
                <w:color w:val="auto"/>
              </w:rPr>
            </w:pPr>
          </w:p>
        </w:tc>
        <w:tc>
          <w:tcPr>
            <w:tcW w:w="180" w:type="dxa"/>
            <w:vAlign w:val="bottom"/>
            <w:gridSpan w:val="9"/>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jc w:val="right"/>
              <w:ind w:right="413"/>
              <w:spacing w:after="0"/>
              <w:rPr>
                <w:sz w:val="20"/>
                <w:szCs w:val="20"/>
                <w:color w:val="auto"/>
              </w:rPr>
            </w:pPr>
            <w:r>
              <w:rPr>
                <w:rFonts w:ascii="Times New Roman" w:cs="Times New Roman" w:eastAsia="Times New Roman" w:hAnsi="Times New Roman"/>
                <w:sz w:val="18"/>
                <w:szCs w:val="18"/>
                <w:color w:val="auto"/>
                <w:w w:val="98"/>
              </w:rPr>
              <w:t>10.44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00" w:type="dxa"/>
            <w:vAlign w:val="bottom"/>
            <w:gridSpan w:val="42"/>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Cover Amendment to the Credit Agreement, dated as of April 10, 2023, among Wolverine World Wide, Inc., as</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60" w:type="dxa"/>
            <w:vAlign w:val="bottom"/>
            <w:tcBorders>
              <w:top w:val="single" w:sz="8" w:color="0000FF"/>
            </w:tcBorders>
            <w:gridSpan w:val="40"/>
          </w:tcPr>
          <w:p>
            <w:pPr>
              <w:spacing w:after="0" w:line="15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borrower, JPMorgan Chase Bank, N.A., as administrative agent and as a lender, J.P. Morgan Europe Limited, as foreign</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8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currency agent, Wells Fargo Bank, National Association, as syndication agent and as a lender, Fifth Third Bank, as</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920" w:type="dxa"/>
            <w:vAlign w:val="bottom"/>
            <w:tcBorders>
              <w:top w:val="single" w:sz="8" w:color="0000FF"/>
              <w:bottom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documentation agent and as a lender, and PNC Bank, National Association, as documentation agent and as a lender.</w:t>
              </w:r>
            </w:hyperlink>
          </w:p>
        </w:tc>
        <w:tc>
          <w:tcPr>
            <w:tcW w:w="140" w:type="dxa"/>
            <w:vAlign w:val="bottom"/>
            <w:tcBorders>
              <w:bottom w:val="single" w:sz="8" w:color="0000FF"/>
            </w:tcBorders>
            <w:gridSpan w:val="7"/>
          </w:tcPr>
          <w:p>
            <w:pPr>
              <w:spacing w:after="0"/>
              <w:rPr>
                <w:sz w:val="14"/>
                <w:szCs w:val="14"/>
                <w:color w:val="auto"/>
              </w:rPr>
            </w:pPr>
          </w:p>
        </w:tc>
        <w:tc>
          <w:tcPr>
            <w:tcW w:w="60" w:type="dxa"/>
            <w:vAlign w:val="bottom"/>
            <w:tcBorders>
              <w:bottom w:val="single" w:sz="8" w:color="0000FF"/>
            </w:tcBorders>
            <w:gridSpan w:val="3"/>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60" w:type="dxa"/>
            <w:vAlign w:val="bottom"/>
            <w:gridSpan w:val="35"/>
          </w:tcPr>
          <w:p>
            <w:pPr>
              <w:spacing w:after="0" w:line="15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Incorporated by reference to Exhibit 10.2 to the Company's Quarterly Report on Form 10-Q for the period ended July 1,</w:t>
              </w:r>
            </w:hyperlink>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8"/>
              </w:rPr>
            </w:pPr>
            <w:hyperlink r:id="rId149">
              <w:r>
                <w:rPr>
                  <w:rFonts w:ascii="Times New Roman" w:cs="Times New Roman" w:eastAsia="Times New Roman" w:hAnsi="Times New Roman"/>
                  <w:sz w:val="18"/>
                  <w:szCs w:val="18"/>
                  <w:color w:val="0000FF"/>
                  <w:w w:val="98"/>
                </w:rPr>
                <w:t>2023.</w:t>
              </w:r>
            </w:hyperlink>
          </w:p>
        </w:tc>
        <w:tc>
          <w:tcPr>
            <w:tcW w:w="1040" w:type="dxa"/>
            <w:vAlign w:val="bottom"/>
            <w:tcBorders>
              <w:top w:val="single" w:sz="8" w:color="0000FF"/>
            </w:tcBorders>
          </w:tcPr>
          <w:p>
            <w:pPr>
              <w:spacing w:after="0"/>
              <w:rPr>
                <w:sz w:val="13"/>
                <w:szCs w:val="13"/>
                <w:color w:val="auto"/>
              </w:rPr>
            </w:pPr>
          </w:p>
        </w:tc>
        <w:tc>
          <w:tcPr>
            <w:tcW w:w="344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104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20" w:type="dxa"/>
            <w:vAlign w:val="bottom"/>
          </w:tcPr>
          <w:p>
            <w:pPr>
              <w:jc w:val="right"/>
              <w:ind w:right="413"/>
              <w:spacing w:after="0"/>
              <w:rPr>
                <w:sz w:val="20"/>
                <w:szCs w:val="20"/>
                <w:color w:val="auto"/>
              </w:rPr>
            </w:pPr>
            <w:r>
              <w:rPr>
                <w:rFonts w:ascii="Times New Roman" w:cs="Times New Roman" w:eastAsia="Times New Roman" w:hAnsi="Times New Roman"/>
                <w:sz w:val="18"/>
                <w:szCs w:val="18"/>
                <w:color w:val="auto"/>
                <w:w w:val="98"/>
              </w:rPr>
              <w:t>10.45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300" w:type="dxa"/>
            <w:vAlign w:val="bottom"/>
            <w:gridSpan w:val="42"/>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Fourth Amendment to the Credit Agreement, dated as of June 30, 2023, among Wolverine World Wide, Inc. as</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20" w:type="dxa"/>
            <w:vAlign w:val="bottom"/>
            <w:tcBorders>
              <w:top w:val="single" w:sz="8" w:color="0000FF"/>
            </w:tcBorders>
            <w:gridSpan w:val="38"/>
          </w:tcPr>
          <w:p>
            <w:pPr>
              <w:spacing w:after="0" w:line="15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borrower, JP Morgan Chase Bank, N.A., as administrative agent and as a lender, J.P. Morgan Europe Limited, as foreign</w:t>
              </w:r>
            </w:hyperlink>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6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currency agent, Wells Fargo Bank, National Association, as syndication agent and as a lender, Fifth Third Bank, as</w:t>
              </w:r>
            </w:hyperlink>
          </w:p>
        </w:tc>
        <w:tc>
          <w:tcPr>
            <w:tcW w:w="240" w:type="dxa"/>
            <w:vAlign w:val="bottom"/>
            <w:gridSpan w:val="12"/>
          </w:tcPr>
          <w:p>
            <w:pPr>
              <w:spacing w:after="0"/>
              <w:rPr>
                <w:sz w:val="13"/>
                <w:szCs w:val="13"/>
                <w:color w:val="auto"/>
              </w:rPr>
            </w:pPr>
          </w:p>
        </w:tc>
        <w:tc>
          <w:tcPr>
            <w:tcW w:w="160" w:type="dxa"/>
            <w:vAlign w:val="bottom"/>
            <w:gridSpan w:val="8"/>
          </w:tcPr>
          <w:p>
            <w:pPr>
              <w:spacing w:after="0"/>
              <w:rPr>
                <w:sz w:val="13"/>
                <w:szCs w:val="13"/>
                <w:color w:val="auto"/>
              </w:rPr>
            </w:pPr>
          </w:p>
        </w:tc>
        <w:tc>
          <w:tcPr>
            <w:tcW w:w="60" w:type="dxa"/>
            <w:vAlign w:val="bottom"/>
            <w:gridSpan w:val="3"/>
          </w:tcPr>
          <w:p>
            <w:pPr>
              <w:spacing w:after="0"/>
              <w:rPr>
                <w:sz w:val="13"/>
                <w:szCs w:val="13"/>
                <w:color w:val="auto"/>
              </w:rPr>
            </w:pPr>
          </w:p>
        </w:tc>
        <w:tc>
          <w:tcPr>
            <w:tcW w:w="1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920" w:type="dxa"/>
            <w:vAlign w:val="bottom"/>
            <w:tcBorders>
              <w:top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documentation agent and as a lender, and PNC Bank, National Association, as documentation agent and as a lender.</w:t>
              </w:r>
            </w:hyperlink>
          </w:p>
        </w:tc>
        <w:tc>
          <w:tcPr>
            <w:tcW w:w="140" w:type="dxa"/>
            <w:vAlign w:val="bottom"/>
            <w:gridSpan w:val="7"/>
          </w:tcPr>
          <w:p>
            <w:pPr>
              <w:spacing w:after="0"/>
              <w:rPr>
                <w:sz w:val="14"/>
                <w:szCs w:val="14"/>
                <w:color w:val="auto"/>
              </w:rPr>
            </w:pPr>
          </w:p>
        </w:tc>
        <w:tc>
          <w:tcPr>
            <w:tcW w:w="60" w:type="dxa"/>
            <w:vAlign w:val="bottom"/>
            <w:gridSpan w:val="3"/>
          </w:tcPr>
          <w:p>
            <w:pPr>
              <w:spacing w:after="0"/>
              <w:rPr>
                <w:sz w:val="14"/>
                <w:szCs w:val="14"/>
                <w:color w:val="auto"/>
              </w:rPr>
            </w:pPr>
          </w:p>
        </w:tc>
        <w:tc>
          <w:tcPr>
            <w:tcW w:w="18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6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Incorporated by reference to Exhibit 10.3 to the Company's Quarterly Report on Form 10-Q for the period ended July 1,</w:t>
              </w:r>
            </w:hyperlink>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3"/>
              </w:rPr>
            </w:pPr>
            <w:hyperlink r:id="rId150">
              <w:r>
                <w:rPr>
                  <w:rFonts w:ascii="Times New Roman" w:cs="Times New Roman" w:eastAsia="Times New Roman" w:hAnsi="Times New Roman"/>
                  <w:sz w:val="18"/>
                  <w:szCs w:val="18"/>
                  <w:color w:val="0000FF"/>
                  <w:w w:val="93"/>
                </w:rPr>
                <w:t>2023.</w:t>
              </w:r>
            </w:hyperlink>
          </w:p>
        </w:tc>
        <w:tc>
          <w:tcPr>
            <w:tcW w:w="20" w:type="dxa"/>
            <w:vAlign w:val="bottom"/>
            <w:tcBorders>
              <w:top w:val="single" w:sz="8" w:color="0000FF"/>
            </w:tcBorders>
          </w:tcPr>
          <w:p>
            <w:pPr>
              <w:spacing w:after="0"/>
              <w:rPr>
                <w:sz w:val="13"/>
                <w:szCs w:val="13"/>
                <w:color w:val="auto"/>
              </w:rPr>
            </w:pPr>
          </w:p>
        </w:tc>
        <w:tc>
          <w:tcPr>
            <w:tcW w:w="1040" w:type="dxa"/>
            <w:vAlign w:val="bottom"/>
            <w:tcBorders>
              <w:top w:val="single" w:sz="8" w:color="0000FF"/>
            </w:tcBorders>
          </w:tcPr>
          <w:p>
            <w:pPr>
              <w:spacing w:after="0"/>
              <w:rPr>
                <w:sz w:val="13"/>
                <w:szCs w:val="13"/>
                <w:color w:val="auto"/>
              </w:rPr>
            </w:pPr>
          </w:p>
        </w:tc>
        <w:tc>
          <w:tcPr>
            <w:tcW w:w="344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104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20" w:type="dxa"/>
            <w:vAlign w:val="bottom"/>
          </w:tcPr>
          <w:p>
            <w:pPr>
              <w:jc w:val="right"/>
              <w:ind w:right="413"/>
              <w:spacing w:after="0"/>
              <w:rPr>
                <w:sz w:val="20"/>
                <w:szCs w:val="20"/>
                <w:color w:val="auto"/>
              </w:rPr>
            </w:pPr>
            <w:r>
              <w:rPr>
                <w:rFonts w:ascii="Times New Roman" w:cs="Times New Roman" w:eastAsia="Times New Roman" w:hAnsi="Times New Roman"/>
                <w:sz w:val="18"/>
                <w:szCs w:val="18"/>
                <w:color w:val="auto"/>
                <w:w w:val="98"/>
              </w:rPr>
              <w:t>10.46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300" w:type="dxa"/>
            <w:vAlign w:val="bottom"/>
            <w:gridSpan w:val="42"/>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Fifth Amendment to the Credit Agreement, dated as of December 21, 2023, among Wolverine World Wide, Inc. as</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6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borrower, JP Morgan Chase Bank, N.A., as administrative agent and as a lender, J.P. Morgan Europe Limited, as foreign</w:t>
              </w:r>
            </w:hyperlink>
          </w:p>
        </w:tc>
        <w:tc>
          <w:tcPr>
            <w:tcW w:w="60" w:type="dxa"/>
            <w:vAlign w:val="bottom"/>
            <w:gridSpan w:val="3"/>
          </w:tcPr>
          <w:p>
            <w:pPr>
              <w:spacing w:after="0"/>
              <w:rPr>
                <w:sz w:val="13"/>
                <w:szCs w:val="13"/>
                <w:color w:val="auto"/>
              </w:rPr>
            </w:pPr>
          </w:p>
        </w:tc>
        <w:tc>
          <w:tcPr>
            <w:tcW w:w="1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6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currency agent, Wells Fargo Bank, National Association, as syndication agent and as a lender, Fifth Third Bank, as</w:t>
              </w:r>
            </w:hyperlink>
          </w:p>
        </w:tc>
        <w:tc>
          <w:tcPr>
            <w:tcW w:w="240" w:type="dxa"/>
            <w:vAlign w:val="bottom"/>
            <w:gridSpan w:val="12"/>
          </w:tcPr>
          <w:p>
            <w:pPr>
              <w:spacing w:after="0"/>
              <w:rPr>
                <w:sz w:val="13"/>
                <w:szCs w:val="13"/>
                <w:color w:val="auto"/>
              </w:rPr>
            </w:pPr>
          </w:p>
        </w:tc>
        <w:tc>
          <w:tcPr>
            <w:tcW w:w="220" w:type="dxa"/>
            <w:vAlign w:val="bottom"/>
            <w:gridSpan w:val="11"/>
          </w:tcPr>
          <w:p>
            <w:pPr>
              <w:spacing w:after="0"/>
              <w:rPr>
                <w:sz w:val="13"/>
                <w:szCs w:val="13"/>
                <w:color w:val="auto"/>
              </w:rPr>
            </w:pPr>
          </w:p>
        </w:tc>
        <w:tc>
          <w:tcPr>
            <w:tcW w:w="1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920" w:type="dxa"/>
            <w:vAlign w:val="bottom"/>
            <w:tcBorders>
              <w:top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documentation agent and as a lender, and PNC Bank, National Association, as documentation agent and as a lender.</w:t>
              </w:r>
            </w:hyperlink>
          </w:p>
        </w:tc>
        <w:tc>
          <w:tcPr>
            <w:tcW w:w="200" w:type="dxa"/>
            <w:vAlign w:val="bottom"/>
            <w:gridSpan w:val="10"/>
          </w:tcPr>
          <w:p>
            <w:pPr>
              <w:spacing w:after="0"/>
              <w:rPr>
                <w:sz w:val="14"/>
                <w:szCs w:val="14"/>
                <w:color w:val="auto"/>
              </w:rPr>
            </w:pPr>
          </w:p>
        </w:tc>
        <w:tc>
          <w:tcPr>
            <w:tcW w:w="18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6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Incorporated by reference to Exhibit 10.49 to the Company's Annual Report on Form 10-K for the fiscal year ended</w:t>
              </w:r>
            </w:hyperlink>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8"/>
              </w:rPr>
            </w:pPr>
            <w:hyperlink r:id="rId151">
              <w:r>
                <w:rPr>
                  <w:rFonts w:ascii="Times New Roman" w:cs="Times New Roman" w:eastAsia="Times New Roman" w:hAnsi="Times New Roman"/>
                  <w:sz w:val="18"/>
                  <w:szCs w:val="18"/>
                  <w:color w:val="0000FF"/>
                  <w:w w:val="98"/>
                </w:rPr>
                <w:t>December 30, 2023.</w:t>
              </w:r>
            </w:hyperlink>
          </w:p>
        </w:tc>
        <w:tc>
          <w:tcPr>
            <w:tcW w:w="7660" w:type="dxa"/>
            <w:vAlign w:val="bottom"/>
            <w:tcBorders>
              <w:top w:val="single" w:sz="8" w:color="0000FF"/>
            </w:tcBorders>
            <w:gridSpan w:val="30"/>
          </w:tcPr>
          <w:p>
            <w:pPr>
              <w:spacing w:after="0"/>
              <w:rPr>
                <w:sz w:val="13"/>
                <w:szCs w:val="13"/>
                <w:color w:val="auto"/>
              </w:rPr>
            </w:pPr>
          </w:p>
        </w:tc>
        <w:tc>
          <w:tcPr>
            <w:tcW w:w="1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20" w:type="dxa"/>
            <w:vAlign w:val="bottom"/>
          </w:tcPr>
          <w:p>
            <w:pPr>
              <w:jc w:val="right"/>
              <w:ind w:right="413"/>
              <w:spacing w:after="0"/>
              <w:rPr>
                <w:sz w:val="20"/>
                <w:szCs w:val="20"/>
                <w:color w:val="auto"/>
              </w:rPr>
            </w:pPr>
            <w:r>
              <w:rPr>
                <w:rFonts w:ascii="Times New Roman" w:cs="Times New Roman" w:eastAsia="Times New Roman" w:hAnsi="Times New Roman"/>
                <w:sz w:val="18"/>
                <w:szCs w:val="18"/>
                <w:color w:val="auto"/>
                <w:w w:val="98"/>
              </w:rPr>
              <w:t>10.47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300" w:type="dxa"/>
            <w:vAlign w:val="bottom"/>
            <w:gridSpan w:val="42"/>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Receivables Purchase Agreement dated as of December 7, 2022, among Wolverine World Wide, Inc. and certain of its</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0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subsidiaries as sellers, and Wells Fargo Bank, N.A. as purchaser. Incorporated by reference to Exhibit 10.46 to the</w:t>
              </w:r>
            </w:hyperlink>
          </w:p>
        </w:tc>
        <w:tc>
          <w:tcPr>
            <w:tcW w:w="400" w:type="dxa"/>
            <w:vAlign w:val="bottom"/>
            <w:gridSpan w:val="20"/>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20" w:type="dxa"/>
            <w:vAlign w:val="bottom"/>
            <w:tcBorders>
              <w:top w:val="single" w:sz="8" w:color="0000FF"/>
            </w:tcBorders>
            <w:gridSpan w:val="38"/>
          </w:tcPr>
          <w:p>
            <w:pPr>
              <w:spacing w:after="0" w:line="15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Company's Annual Report on Form 10-K for the fiscal year ended December 31, 2022.</w:t>
              </w:r>
            </w:hyperlink>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4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00"/>
          </w:cols>
          <w:pgMar w:left="980" w:top="1005" w:right="111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61"/>
        </w:trPr>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8960" w:type="dxa"/>
            <w:vAlign w:val="bottom"/>
            <w:gridSpan w:val="26"/>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Document</w:t>
            </w:r>
          </w:p>
        </w:tc>
        <w:tc>
          <w:tcPr>
            <w:tcW w:w="0" w:type="dxa"/>
            <w:vAlign w:val="bottom"/>
          </w:tcPr>
          <w:p>
            <w:pPr>
              <w:spacing w:after="0"/>
              <w:rPr>
                <w:sz w:val="1"/>
                <w:szCs w:val="1"/>
                <w:color w:val="auto"/>
              </w:rPr>
            </w:pPr>
          </w:p>
        </w:tc>
      </w:tr>
      <w:tr>
        <w:trPr>
          <w:trHeight w:val="196"/>
        </w:trPr>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8960" w:type="dxa"/>
            <w:vAlign w:val="bottom"/>
            <w:gridSpan w:val="2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920" w:type="dxa"/>
            <w:vAlign w:val="bottom"/>
            <w:tcBorders>
              <w:top w:val="single" w:sz="8" w:color="auto"/>
            </w:tcBorders>
          </w:tcPr>
          <w:p>
            <w:pPr>
              <w:jc w:val="right"/>
              <w:ind w:right="413"/>
              <w:spacing w:after="0"/>
              <w:rPr>
                <w:sz w:val="20"/>
                <w:szCs w:val="20"/>
                <w:color w:val="auto"/>
              </w:rPr>
            </w:pPr>
            <w:r>
              <w:rPr>
                <w:rFonts w:ascii="Times New Roman" w:cs="Times New Roman" w:eastAsia="Times New Roman" w:hAnsi="Times New Roman"/>
                <w:sz w:val="18"/>
                <w:szCs w:val="18"/>
                <w:color w:val="auto"/>
                <w:w w:val="98"/>
              </w:rPr>
              <w:t>10.48</w:t>
            </w:r>
          </w:p>
        </w:tc>
        <w:tc>
          <w:tcPr>
            <w:tcW w:w="1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960" w:type="dxa"/>
            <w:vAlign w:val="bottom"/>
            <w:tcBorders>
              <w:top w:val="single" w:sz="8" w:color="auto"/>
            </w:tcBorders>
            <w:gridSpan w:val="26"/>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First Amendment, dated as of June 30, 2023, to the Receivables Purchase Agreement dated as of December 7, 2022,</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2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among Wolverine World Wide, Inc. and certain of its subsidiaries as sellers, and Wells Fargo, N.A. as purchaser.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0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Incorporated by reference to Exhibit 10.4 to the Company's Quarterly Report on Form 10-Q for the period ended July 1,</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bottom w:val="single" w:sz="8" w:color="0000FF"/>
            </w:tcBorders>
          </w:tcPr>
          <w:p>
            <w:pPr>
              <w:spacing w:after="0" w:line="169" w:lineRule="exact"/>
              <w:rPr>
                <w:rFonts w:ascii="Times New Roman" w:cs="Times New Roman" w:eastAsia="Times New Roman" w:hAnsi="Times New Roman"/>
                <w:sz w:val="18"/>
                <w:szCs w:val="18"/>
                <w:color w:val="0000FF"/>
                <w:w w:val="93"/>
              </w:rPr>
            </w:pPr>
            <w:hyperlink r:id="rId154">
              <w:r>
                <w:rPr>
                  <w:rFonts w:ascii="Times New Roman" w:cs="Times New Roman" w:eastAsia="Times New Roman" w:hAnsi="Times New Roman"/>
                  <w:sz w:val="18"/>
                  <w:szCs w:val="18"/>
                  <w:color w:val="0000FF"/>
                  <w:w w:val="93"/>
                </w:rPr>
                <w:t>2023.</w:t>
              </w:r>
            </w:hyperlink>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jc w:val="right"/>
              <w:ind w:right="413"/>
              <w:spacing w:after="0"/>
              <w:rPr>
                <w:sz w:val="20"/>
                <w:szCs w:val="20"/>
                <w:color w:val="auto"/>
              </w:rPr>
            </w:pPr>
            <w:r>
              <w:rPr>
                <w:rFonts w:ascii="Times New Roman" w:cs="Times New Roman" w:eastAsia="Times New Roman" w:hAnsi="Times New Roman"/>
                <w:sz w:val="18"/>
                <w:szCs w:val="18"/>
                <w:color w:val="auto"/>
                <w:w w:val="98"/>
              </w:rPr>
              <w:t>10.49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960" w:type="dxa"/>
            <w:vAlign w:val="bottom"/>
            <w:gridSpan w:val="26"/>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Second Amendment, dated as of March 27, 2024, to the Receivables Purchase Agreement dated as of December 7,</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4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2022, among Wolverine World Wide, Inc. and certain of its subsidiaries as sellers, and Wells Fargo, N.A. as purchaser.</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80" w:type="dxa"/>
            <w:vAlign w:val="bottom"/>
            <w:gridSpan w:val="17"/>
          </w:tcPr>
          <w:p>
            <w:pPr>
              <w:spacing w:after="0" w:line="15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Incorporated by reference to Exhibit 10.2 to the Company's Quarterly Report on Form 10-Q for the period ended March</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4"/>
              </w:rPr>
            </w:pPr>
            <w:hyperlink r:id="rId155">
              <w:r>
                <w:rPr>
                  <w:rFonts w:ascii="Times New Roman" w:cs="Times New Roman" w:eastAsia="Times New Roman" w:hAnsi="Times New Roman"/>
                  <w:sz w:val="18"/>
                  <w:szCs w:val="18"/>
                  <w:color w:val="0000FF"/>
                  <w:w w:val="94"/>
                </w:rPr>
                <w:t>30, 2024.</w:t>
              </w:r>
            </w:hyperlink>
          </w:p>
        </w:tc>
        <w:tc>
          <w:tcPr>
            <w:tcW w:w="620" w:type="dxa"/>
            <w:vAlign w:val="bottom"/>
            <w:tcBorders>
              <w:top w:val="single" w:sz="8" w:color="0000FF"/>
            </w:tcBorders>
          </w:tcPr>
          <w:p>
            <w:pPr>
              <w:spacing w:after="0"/>
              <w:rPr>
                <w:sz w:val="14"/>
                <w:szCs w:val="14"/>
                <w:color w:val="auto"/>
              </w:rPr>
            </w:pPr>
          </w:p>
        </w:tc>
        <w:tc>
          <w:tcPr>
            <w:tcW w:w="2800" w:type="dxa"/>
            <w:vAlign w:val="bottom"/>
            <w:tcBorders>
              <w:top w:val="single" w:sz="8" w:color="0000FF"/>
            </w:tcBorders>
          </w:tcPr>
          <w:p>
            <w:pPr>
              <w:spacing w:after="0"/>
              <w:rPr>
                <w:sz w:val="14"/>
                <w:szCs w:val="14"/>
                <w:color w:val="auto"/>
              </w:rPr>
            </w:pPr>
          </w:p>
        </w:tc>
        <w:tc>
          <w:tcPr>
            <w:tcW w:w="17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3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920" w:type="dxa"/>
            <w:vAlign w:val="bottom"/>
          </w:tcPr>
          <w:p>
            <w:pPr>
              <w:jc w:val="right"/>
              <w:ind w:right="413"/>
              <w:spacing w:after="0"/>
              <w:rPr>
                <w:sz w:val="20"/>
                <w:szCs w:val="20"/>
                <w:color w:val="auto"/>
              </w:rPr>
            </w:pPr>
            <w:r>
              <w:rPr>
                <w:rFonts w:ascii="Times New Roman" w:cs="Times New Roman" w:eastAsia="Times New Roman" w:hAnsi="Times New Roman"/>
                <w:sz w:val="18"/>
                <w:szCs w:val="18"/>
                <w:color w:val="auto"/>
                <w:w w:val="98"/>
              </w:rPr>
              <w:t>10.50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960" w:type="dxa"/>
            <w:vAlign w:val="bottom"/>
            <w:gridSpan w:val="26"/>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Third Amendment, dated as of April 15, 2024, to the Receivables Purchase Agreement dated as of December 7, 2022,</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6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among Wolverine World Wide, Inc. and certain of its subsidiaries as sellers, and Wells Fargo, N.A. as purchaser.</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0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Incorporated by reference to Exhibit 10.3 to the Company's Quarterly Report on Form 10-Q for the period ended March</w:t>
              </w:r>
            </w:hyperlink>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0000FF"/>
            </w:tcBorders>
            <w:gridSpan w:val="2"/>
          </w:tcPr>
          <w:p>
            <w:pPr>
              <w:spacing w:after="0" w:line="169" w:lineRule="exact"/>
              <w:rPr>
                <w:rFonts w:ascii="Times New Roman" w:cs="Times New Roman" w:eastAsia="Times New Roman" w:hAnsi="Times New Roman"/>
                <w:sz w:val="18"/>
                <w:szCs w:val="18"/>
                <w:color w:val="0000FF"/>
                <w:w w:val="94"/>
              </w:rPr>
            </w:pPr>
            <w:hyperlink r:id="rId156">
              <w:r>
                <w:rPr>
                  <w:rFonts w:ascii="Times New Roman" w:cs="Times New Roman" w:eastAsia="Times New Roman" w:hAnsi="Times New Roman"/>
                  <w:sz w:val="18"/>
                  <w:szCs w:val="18"/>
                  <w:color w:val="0000FF"/>
                  <w:w w:val="94"/>
                </w:rPr>
                <w:t>30, 2024.</w:t>
              </w:r>
            </w:hyperlink>
          </w:p>
        </w:tc>
        <w:tc>
          <w:tcPr>
            <w:tcW w:w="6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920" w:type="dxa"/>
            <w:vAlign w:val="bottom"/>
          </w:tcPr>
          <w:p>
            <w:pPr>
              <w:jc w:val="right"/>
              <w:ind w:right="413"/>
              <w:spacing w:after="0"/>
              <w:rPr>
                <w:sz w:val="20"/>
                <w:szCs w:val="20"/>
                <w:color w:val="auto"/>
              </w:rPr>
            </w:pPr>
            <w:r>
              <w:rPr>
                <w:rFonts w:ascii="Times New Roman" w:cs="Times New Roman" w:eastAsia="Times New Roman" w:hAnsi="Times New Roman"/>
                <w:sz w:val="18"/>
                <w:szCs w:val="18"/>
                <w:color w:val="auto"/>
                <w:w w:val="98"/>
              </w:rPr>
              <w:t>10.51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960" w:type="dxa"/>
            <w:vAlign w:val="bottom"/>
            <w:gridSpan w:val="26"/>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Amended and Restated Executive Short-Term Incentive Plan (Annual Bonus Plan).* Incorporated by reference to</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2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Appendix A to the Company’s Definitive Proxy Statement filed on March 28, 2017.</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280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tcPr>
          <w:p>
            <w:pPr>
              <w:jc w:val="right"/>
              <w:ind w:right="413"/>
              <w:spacing w:after="0"/>
              <w:rPr>
                <w:sz w:val="20"/>
                <w:szCs w:val="20"/>
                <w:color w:val="auto"/>
              </w:rPr>
            </w:pPr>
            <w:r>
              <w:rPr>
                <w:rFonts w:ascii="Times New Roman" w:cs="Times New Roman" w:eastAsia="Times New Roman" w:hAnsi="Times New Roman"/>
                <w:sz w:val="18"/>
                <w:szCs w:val="18"/>
                <w:color w:val="auto"/>
                <w:w w:val="98"/>
              </w:rPr>
              <w:t>10.52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960" w:type="dxa"/>
            <w:vAlign w:val="bottom"/>
            <w:gridSpan w:val="26"/>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Wolverine World Wide, Inc. Amended and Restated Executive Short-Term Incentive Plan (Annual Bonus Plan).*</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40" w:type="dxa"/>
            <w:vAlign w:val="bottom"/>
            <w:tcBorders>
              <w:top w:val="single" w:sz="8" w:color="0000FF"/>
              <w:bottom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Incorporated by reference to Exhibit 10.1 to the Company's Quarterly Report on Form 10-Q for the period ended June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Borders>
              <w:bottom w:val="single" w:sz="8" w:color="0000FF"/>
            </w:tcBorders>
            <w:gridSpan w:val="2"/>
          </w:tcPr>
          <w:p>
            <w:pPr>
              <w:spacing w:after="0" w:line="156" w:lineRule="exact"/>
              <w:rPr>
                <w:rFonts w:ascii="Times New Roman" w:cs="Times New Roman" w:eastAsia="Times New Roman" w:hAnsi="Times New Roman"/>
                <w:sz w:val="18"/>
                <w:szCs w:val="18"/>
                <w:color w:val="0000FF"/>
                <w:w w:val="94"/>
              </w:rPr>
            </w:pPr>
            <w:hyperlink r:id="rId158">
              <w:r>
                <w:rPr>
                  <w:rFonts w:ascii="Times New Roman" w:cs="Times New Roman" w:eastAsia="Times New Roman" w:hAnsi="Times New Roman"/>
                  <w:sz w:val="18"/>
                  <w:szCs w:val="18"/>
                  <w:color w:val="0000FF"/>
                  <w:w w:val="94"/>
                </w:rPr>
                <w:t>29, 2019.</w:t>
              </w:r>
            </w:hyperlink>
          </w:p>
        </w:tc>
        <w:tc>
          <w:tcPr>
            <w:tcW w:w="6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20" w:type="dxa"/>
            <w:vAlign w:val="bottom"/>
          </w:tcPr>
          <w:p>
            <w:pPr>
              <w:jc w:val="right"/>
              <w:ind w:right="413"/>
              <w:spacing w:after="0"/>
              <w:rPr>
                <w:sz w:val="20"/>
                <w:szCs w:val="20"/>
                <w:color w:val="auto"/>
              </w:rPr>
            </w:pPr>
            <w:r>
              <w:rPr>
                <w:rFonts w:ascii="Times New Roman" w:cs="Times New Roman" w:eastAsia="Times New Roman" w:hAnsi="Times New Roman"/>
                <w:sz w:val="18"/>
                <w:szCs w:val="18"/>
                <w:color w:val="auto"/>
                <w:w w:val="98"/>
              </w:rPr>
              <w:t>10.53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960" w:type="dxa"/>
            <w:vAlign w:val="bottom"/>
            <w:gridSpan w:val="26"/>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Consent Decree by and among Wolverine World Wide, Inc., the State of Michigan, Plainfield Charter Township, and</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0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Algoma Township. Incorporated by reference to Exhibit 10.1 to the Company's Current Report on Form 8-K filed on</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8"/>
              </w:rPr>
            </w:pPr>
            <w:hyperlink r:id="rId159">
              <w:r>
                <w:rPr>
                  <w:rFonts w:ascii="Times New Roman" w:cs="Times New Roman" w:eastAsia="Times New Roman" w:hAnsi="Times New Roman"/>
                  <w:sz w:val="18"/>
                  <w:szCs w:val="18"/>
                  <w:color w:val="0000FF"/>
                  <w:w w:val="98"/>
                </w:rPr>
                <w:t>February 7, 2020.</w:t>
              </w:r>
            </w:hyperlink>
          </w:p>
        </w:tc>
        <w:tc>
          <w:tcPr>
            <w:tcW w:w="7520" w:type="dxa"/>
            <w:vAlign w:val="bottom"/>
            <w:tcBorders>
              <w:top w:val="single" w:sz="8" w:color="0000FF"/>
            </w:tcBorders>
            <w:gridSpan w:val="15"/>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20" w:type="dxa"/>
            <w:vAlign w:val="bottom"/>
          </w:tcPr>
          <w:p>
            <w:pPr>
              <w:jc w:val="right"/>
              <w:ind w:right="413"/>
              <w:spacing w:after="0"/>
              <w:rPr>
                <w:sz w:val="20"/>
                <w:szCs w:val="20"/>
                <w:color w:val="auto"/>
              </w:rPr>
            </w:pPr>
            <w:r>
              <w:rPr>
                <w:rFonts w:ascii="Times New Roman" w:cs="Times New Roman" w:eastAsia="Times New Roman" w:hAnsi="Times New Roman"/>
                <w:sz w:val="18"/>
                <w:szCs w:val="18"/>
                <w:color w:val="auto"/>
                <w:w w:val="98"/>
              </w:rPr>
              <w:t>10.54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960" w:type="dxa"/>
            <w:vAlign w:val="bottom"/>
            <w:gridSpan w:val="26"/>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Employment Agreement between Brendan Hoffman and the Company.* Incorporated by reference to Exhibit 10.1 to the</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18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60">
              <w:r>
                <w:rPr>
                  <w:rFonts w:ascii="Times New Roman" w:cs="Times New Roman" w:eastAsia="Times New Roman" w:hAnsi="Times New Roman"/>
                  <w:sz w:val="18"/>
                  <w:szCs w:val="18"/>
                  <w:color w:val="0000FF"/>
                  <w:w w:val="99"/>
                </w:rPr>
                <w:t>Company's Quarterly Report on Form 10-Q for the period ended September 26, 2020.</w:t>
              </w:r>
            </w:hyperlink>
          </w:p>
        </w:tc>
        <w:tc>
          <w:tcPr>
            <w:tcW w:w="2500" w:type="dxa"/>
            <w:vAlign w:val="bottom"/>
            <w:tcBorders>
              <w:top w:val="single" w:sz="8" w:color="0000FF"/>
            </w:tcBorders>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20" w:type="dxa"/>
            <w:vAlign w:val="bottom"/>
          </w:tcPr>
          <w:p>
            <w:pPr>
              <w:jc w:val="right"/>
              <w:ind w:right="413"/>
              <w:spacing w:after="0"/>
              <w:rPr>
                <w:sz w:val="20"/>
                <w:szCs w:val="20"/>
                <w:color w:val="auto"/>
              </w:rPr>
            </w:pPr>
            <w:r>
              <w:rPr>
                <w:rFonts w:ascii="Times New Roman" w:cs="Times New Roman" w:eastAsia="Times New Roman" w:hAnsi="Times New Roman"/>
                <w:sz w:val="18"/>
                <w:szCs w:val="18"/>
                <w:color w:val="auto"/>
                <w:w w:val="98"/>
              </w:rPr>
              <w:t>10.55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960" w:type="dxa"/>
            <w:vAlign w:val="bottom"/>
            <w:gridSpan w:val="26"/>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Amended Employment Agreement between Brendan Hoffman and the Company.* Incorporated by reference to Exhibit</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the Company's Current Report on Form 8-K filed on December 23, 2021.</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80" w:type="dxa"/>
            <w:vAlign w:val="bottom"/>
            <w:gridSpan w:val="4"/>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tcPr>
          <w:p>
            <w:pPr>
              <w:jc w:val="right"/>
              <w:ind w:right="413"/>
              <w:spacing w:after="0"/>
              <w:rPr>
                <w:sz w:val="20"/>
                <w:szCs w:val="20"/>
                <w:color w:val="auto"/>
              </w:rPr>
            </w:pPr>
            <w:r>
              <w:rPr>
                <w:rFonts w:ascii="Times New Roman" w:cs="Times New Roman" w:eastAsia="Times New Roman" w:hAnsi="Times New Roman"/>
                <w:sz w:val="18"/>
                <w:szCs w:val="18"/>
                <w:color w:val="auto"/>
                <w:w w:val="98"/>
              </w:rPr>
              <w:t>10.56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960" w:type="dxa"/>
            <w:vAlign w:val="bottom"/>
            <w:gridSpan w:val="26"/>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Asset Purchase Agreement dated as of February 7, 2023, among Wolverine World Wide, Inc. and certain of its</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6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subsidiaries as sellers, and Vincent Camuto LLC and DBI Brands Management LLC, as purchaser. Incorporated by</w:t>
              </w:r>
            </w:hyperlink>
          </w:p>
        </w:tc>
        <w:tc>
          <w:tcPr>
            <w:tcW w:w="60" w:type="dxa"/>
            <w:vAlign w:val="bottom"/>
            <w:gridSpan w:val="3"/>
          </w:tcPr>
          <w:p>
            <w:pPr>
              <w:spacing w:after="0"/>
              <w:rPr>
                <w:sz w:val="13"/>
                <w:szCs w:val="13"/>
                <w:color w:val="auto"/>
              </w:rPr>
            </w:pPr>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4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reference to Exhibit 10.53 to the Company's Annual Report on Form 10-K for the fiscal year ended December 31, 2022.</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80" w:type="dxa"/>
            <w:vAlign w:val="bottom"/>
            <w:gridSpan w:val="4"/>
            <w:shd w:val="clear" w:color="auto" w:fill="0000FF"/>
          </w:tcPr>
          <w:p>
            <w:pPr>
              <w:spacing w:after="0" w:line="20" w:lineRule="exact"/>
              <w:rPr>
                <w:sz w:val="1"/>
                <w:szCs w:val="1"/>
                <w:color w:val="auto"/>
              </w:rPr>
            </w:pPr>
          </w:p>
        </w:tc>
        <w:tc>
          <w:tcPr>
            <w:tcW w:w="2180" w:type="dxa"/>
            <w:vAlign w:val="bottom"/>
            <w:gridSpan w:val="4"/>
            <w:shd w:val="clear" w:color="auto" w:fill="0000FF"/>
          </w:tcPr>
          <w:p>
            <w:pPr>
              <w:spacing w:after="0" w:line="20" w:lineRule="exact"/>
              <w:rPr>
                <w:sz w:val="1"/>
                <w:szCs w:val="1"/>
                <w:color w:val="auto"/>
              </w:rPr>
            </w:pPr>
          </w:p>
        </w:tc>
        <w:tc>
          <w:tcPr>
            <w:tcW w:w="2380" w:type="dxa"/>
            <w:vAlign w:val="bottom"/>
            <w:gridSpan w:val="2"/>
            <w:shd w:val="clear" w:color="auto" w:fill="0000FF"/>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tcPr>
          <w:p>
            <w:pPr>
              <w:jc w:val="right"/>
              <w:ind w:right="413"/>
              <w:spacing w:after="0"/>
              <w:rPr>
                <w:sz w:val="20"/>
                <w:szCs w:val="20"/>
                <w:color w:val="auto"/>
              </w:rPr>
            </w:pPr>
            <w:r>
              <w:rPr>
                <w:rFonts w:ascii="Times New Roman" w:cs="Times New Roman" w:eastAsia="Times New Roman" w:hAnsi="Times New Roman"/>
                <w:sz w:val="18"/>
                <w:szCs w:val="18"/>
                <w:color w:val="auto"/>
                <w:w w:val="98"/>
              </w:rPr>
              <w:t>10.57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960" w:type="dxa"/>
            <w:vAlign w:val="bottom"/>
            <w:gridSpan w:val="26"/>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Purchase Agreement dated as of January 10, 2024, among Wolverine World Wide, Inc. and certain of its subsidiaries as</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60" w:type="dxa"/>
            <w:vAlign w:val="bottom"/>
            <w:tcBorders>
              <w:top w:val="single" w:sz="8" w:color="0000FF"/>
              <w:bottom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sellers, and ABG Intermediate Holdings 2 LLC, as purchaser. Incorporated by reference to Exhibit 10.59 to the</w:t>
              </w:r>
            </w:hyperlink>
          </w:p>
        </w:tc>
        <w:tc>
          <w:tcPr>
            <w:tcW w:w="20" w:type="dxa"/>
            <w:vAlign w:val="bottom"/>
            <w:tcBorders>
              <w:bottom w:val="single" w:sz="8" w:color="0000FF"/>
            </w:tcBorders>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80" w:type="dxa"/>
            <w:vAlign w:val="bottom"/>
            <w:gridSpan w:val="22"/>
          </w:tcPr>
          <w:p>
            <w:pPr>
              <w:spacing w:after="0" w:line="15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Company's Annual Report on Form 10-K for the fiscal year ended December 30, 2023.</w:t>
              </w:r>
            </w:hyperlink>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80" w:type="dxa"/>
            <w:vAlign w:val="bottom"/>
            <w:gridSpan w:val="4"/>
            <w:shd w:val="clear" w:color="auto" w:fill="0000FF"/>
          </w:tcPr>
          <w:p>
            <w:pPr>
              <w:spacing w:after="0" w:line="20" w:lineRule="exact"/>
              <w:rPr>
                <w:sz w:val="1"/>
                <w:szCs w:val="1"/>
                <w:color w:val="auto"/>
              </w:rPr>
            </w:pPr>
          </w:p>
        </w:tc>
        <w:tc>
          <w:tcPr>
            <w:tcW w:w="2180" w:type="dxa"/>
            <w:vAlign w:val="bottom"/>
            <w:gridSpan w:val="4"/>
            <w:shd w:val="clear" w:color="auto" w:fill="0000FF"/>
          </w:tcPr>
          <w:p>
            <w:pPr>
              <w:spacing w:after="0" w:line="20" w:lineRule="exact"/>
              <w:rPr>
                <w:sz w:val="1"/>
                <w:szCs w:val="1"/>
                <w:color w:val="auto"/>
              </w:rPr>
            </w:pPr>
          </w:p>
        </w:tc>
        <w:tc>
          <w:tcPr>
            <w:tcW w:w="2460" w:type="dxa"/>
            <w:vAlign w:val="bottom"/>
            <w:gridSpan w:val="6"/>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tcPr>
          <w:p>
            <w:pPr>
              <w:jc w:val="right"/>
              <w:ind w:right="413"/>
              <w:spacing w:after="0"/>
              <w:rPr>
                <w:sz w:val="20"/>
                <w:szCs w:val="20"/>
                <w:color w:val="auto"/>
              </w:rPr>
            </w:pPr>
            <w:r>
              <w:rPr>
                <w:rFonts w:ascii="Times New Roman" w:cs="Times New Roman" w:eastAsia="Times New Roman" w:hAnsi="Times New Roman"/>
                <w:sz w:val="18"/>
                <w:szCs w:val="18"/>
                <w:color w:val="auto"/>
                <w:w w:val="98"/>
              </w:rPr>
              <w:t>10.58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960" w:type="dxa"/>
            <w:vAlign w:val="bottom"/>
            <w:gridSpan w:val="26"/>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Purchase Agreement dated as of January 10, 2024, among Wolverine World Wide, Inc. and certain of its subsidiaries as</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4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sellers, and Aldo U.S. Inc., as purchaser. Incorporated by reference to Exhibit 10.60 to the Company's Annual Report on</w:t>
              </w:r>
            </w:hyperlink>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2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Form 10-K for the fiscal year ended December 30, 2023.</w:t>
              </w:r>
            </w:hyperlink>
          </w:p>
        </w:tc>
        <w:tc>
          <w:tcPr>
            <w:tcW w:w="24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ind w:left="1100" w:hanging="1086"/>
        <w:spacing w:after="0"/>
        <w:tabs>
          <w:tab w:leader="none" w:pos="11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Wolverine World Wide, Inc. Insider Trading Policy.</w:t>
      </w:r>
    </w:p>
    <w:p>
      <w:pPr>
        <w:spacing w:after="0" w:line="27" w:lineRule="exact"/>
        <w:rPr>
          <w:sz w:val="20"/>
          <w:szCs w:val="20"/>
          <w:color w:val="auto"/>
        </w:rPr>
      </w:pPr>
    </w:p>
    <w:p>
      <w:pPr>
        <w:ind w:left="1100" w:hanging="1086"/>
        <w:spacing w:after="0"/>
        <w:tabs>
          <w:tab w:leader="none" w:pos="11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Subsidiaries of Registrant.</w:t>
      </w:r>
    </w:p>
    <w:p>
      <w:pPr>
        <w:spacing w:after="0" w:line="23" w:lineRule="exact"/>
        <w:rPr>
          <w:sz w:val="20"/>
          <w:szCs w:val="20"/>
          <w:color w:val="auto"/>
        </w:rPr>
      </w:pPr>
    </w:p>
    <w:p>
      <w:pPr>
        <w:ind w:left="1100" w:hanging="1086"/>
        <w:spacing w:after="0"/>
        <w:tabs>
          <w:tab w:leader="none" w:pos="11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Consent of Ernst &amp; Young LLP.</w:t>
      </w:r>
    </w:p>
    <w:p>
      <w:pPr>
        <w:spacing w:after="0" w:line="23" w:lineRule="exact"/>
        <w:rPr>
          <w:sz w:val="20"/>
          <w:szCs w:val="20"/>
          <w:color w:val="auto"/>
        </w:rPr>
      </w:pPr>
    </w:p>
    <w:p>
      <w:pPr>
        <w:ind w:left="20"/>
        <w:spacing w:after="0"/>
        <w:tabs>
          <w:tab w:leader="none" w:pos="108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u w:val="single" w:color="auto"/>
          <w:color w:val="0000FF"/>
        </w:rPr>
        <w:t>Certification of Chairman, Chief Executive Officer and President under Section 302 of the Sarbanes-Oxley Act of 2002.</w:t>
      </w:r>
    </w:p>
    <w:p>
      <w:pPr>
        <w:spacing w:after="0" w:line="23" w:lineRule="exact"/>
        <w:rPr>
          <w:sz w:val="20"/>
          <w:szCs w:val="20"/>
          <w:color w:val="auto"/>
        </w:rPr>
      </w:pPr>
    </w:p>
    <w:p>
      <w:pPr>
        <w:ind w:left="1100" w:right="40" w:hanging="1079"/>
        <w:spacing w:after="0" w:line="234" w:lineRule="auto"/>
        <w:tabs>
          <w:tab w:leader="none" w:pos="108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u w:val="single" w:color="auto"/>
          <w:color w:val="0000FF"/>
        </w:rPr>
        <w:t>Certification of Executive Vice President, Chief Financial Officer and Treasurer under Section 302 of the Sarbanes-Oxley Act of 2002.</w:t>
      </w:r>
    </w:p>
    <w:p>
      <w:pPr>
        <w:spacing w:after="0" w:line="10" w:lineRule="exact"/>
        <w:rPr>
          <w:sz w:val="20"/>
          <w:szCs w:val="20"/>
          <w:color w:val="auto"/>
        </w:rPr>
      </w:pPr>
    </w:p>
    <w:p>
      <w:pPr>
        <w:ind w:left="1100" w:hanging="1086"/>
        <w:spacing w:after="0"/>
        <w:tabs>
          <w:tab w:leader="none" w:pos="11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 pursuant to 18 U.S.C. § 1350.</w:t>
      </w:r>
    </w:p>
    <w:p>
      <w:pPr>
        <w:spacing w:after="0" w:line="27" w:lineRule="exact"/>
        <w:rPr>
          <w:sz w:val="20"/>
          <w:szCs w:val="20"/>
          <w:color w:val="auto"/>
        </w:rPr>
      </w:pPr>
    </w:p>
    <w:p>
      <w:pPr>
        <w:ind w:left="1100" w:right="40" w:hanging="1086"/>
        <w:spacing w:after="0" w:line="234" w:lineRule="auto"/>
        <w:tabs>
          <w:tab w:leader="none" w:pos="1100" w:val="left"/>
        </w:tabs>
        <w:numPr>
          <w:ilvl w:val="0"/>
          <w:numId w:val="46"/>
        </w:numPr>
        <w:rPr>
          <w:rFonts w:ascii="Times New Roman" w:cs="Times New Roman" w:eastAsia="Times New Roman" w:hAnsi="Times New Roman"/>
          <w:sz w:val="18"/>
          <w:szCs w:val="18"/>
          <w:u w:val="single" w:color="auto"/>
          <w:color w:val="0000FF"/>
        </w:rPr>
      </w:pPr>
      <w:hyperlink r:id="rId165">
        <w:r>
          <w:rPr>
            <w:rFonts w:ascii="Times New Roman" w:cs="Times New Roman" w:eastAsia="Times New Roman" w:hAnsi="Times New Roman"/>
            <w:sz w:val="18"/>
            <w:szCs w:val="18"/>
            <w:u w:val="single" w:color="auto"/>
            <w:color w:val="0000FF"/>
          </w:rPr>
          <w:t>Wolverine World Wide, Inc. Clawback Policy. Incorporated by reference to the Company's Annual Report on Form 10-</w:t>
        </w:r>
      </w:hyperlink>
      <w:hyperlink r:id="rId165">
        <w:r>
          <w:rPr>
            <w:rFonts w:ascii="Times New Roman" w:cs="Times New Roman" w:eastAsia="Times New Roman" w:hAnsi="Times New Roman"/>
            <w:sz w:val="18"/>
            <w:szCs w:val="18"/>
            <w:u w:val="single" w:color="auto"/>
            <w:color w:val="0000FF"/>
          </w:rPr>
          <w:t>K for the fiscal year ended December 30, 2023.</w:t>
        </w:r>
      </w:hyperlink>
    </w:p>
    <w:p>
      <w:pPr>
        <w:spacing w:after="0" w:line="37" w:lineRule="exact"/>
        <w:rPr>
          <w:rFonts w:ascii="Times New Roman" w:cs="Times New Roman" w:eastAsia="Times New Roman" w:hAnsi="Times New Roman"/>
          <w:sz w:val="18"/>
          <w:szCs w:val="18"/>
          <w:color w:val="auto"/>
        </w:rPr>
      </w:pPr>
    </w:p>
    <w:p>
      <w:pPr>
        <w:jc w:val="both"/>
        <w:ind w:left="1100" w:right="20" w:hanging="1086"/>
        <w:spacing w:after="0" w:line="224" w:lineRule="auto"/>
        <w:tabs>
          <w:tab w:leader="none" w:pos="11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the Company’s Annual Report on Form 10-K for the fiscal year ended December 28, 2024, formatted in Inline XBRL: (i) Consolidated Statements of Operations; (ii) Consolidated Statements of Comprehensive Income (loss); (iii) Consolidated Balance Sheets; (iv) Consolidated Statements of Cash Flows; (v) Consolidated Statements of Stockholders’ Equity; and (vi) Notes to Consolidated Financial Statements.</w:t>
      </w:r>
    </w:p>
    <w:p>
      <w:pPr>
        <w:spacing w:after="0" w:line="37" w:lineRule="exact"/>
        <w:rPr>
          <w:rFonts w:ascii="Times New Roman" w:cs="Times New Roman" w:eastAsia="Times New Roman" w:hAnsi="Times New Roman"/>
          <w:sz w:val="18"/>
          <w:szCs w:val="18"/>
          <w:color w:val="auto"/>
        </w:rPr>
      </w:pPr>
    </w:p>
    <w:p>
      <w:pPr>
        <w:ind w:left="1100" w:right="40" w:hanging="1086"/>
        <w:spacing w:after="0" w:line="250" w:lineRule="auto"/>
        <w:tabs>
          <w:tab w:leader="none" w:pos="11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of the Company’s Annual Report on Form 10-K for the fiscal year ended December 28, 2024, formatted in Inline XBRL (included in Exhibit 101).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-1905</wp:posOffset>
            </wp:positionH>
            <wp:positionV relativeFrom="paragraph">
              <wp:posOffset>63500</wp:posOffset>
            </wp:positionV>
            <wp:extent cx="62236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66">
                      <a:extLst>
                        <a:ext uri="{28A0092B-C50C-407E-A947-70E740481C1C}"/>
                      </a:extLst>
                    </a:blip>
                    <a:srcRect/>
                    <a:stretch>
                      <a:fillRect/>
                    </a:stretch>
                  </pic:blipFill>
                  <pic:spPr bwMode="auto">
                    <a:xfrm>
                      <a:off x="0" y="0"/>
                      <a:ext cx="6223635" cy="8255"/>
                    </a:xfrm>
                    <a:prstGeom prst="rect">
                      <a:avLst/>
                    </a:prstGeom>
                    <a:noFill/>
                  </pic:spPr>
                </pic:pic>
              </a:graphicData>
            </a:graphic>
          </wp:anchor>
        </w:drawing>
      </w:r>
    </w:p>
    <w:p>
      <w:pPr>
        <w:spacing w:after="0" w:line="318" w:lineRule="exact"/>
        <w:rPr>
          <w:rFonts w:ascii="Times New Roman" w:cs="Times New Roman" w:eastAsia="Times New Roman" w:hAnsi="Times New Roman"/>
          <w:sz w:val="18"/>
          <w:szCs w:val="18"/>
          <w:color w:val="auto"/>
        </w:rPr>
      </w:pPr>
    </w:p>
    <w:p>
      <w:pPr>
        <w:ind w:left="80"/>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Management contract or compensatory plan or arrangement.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68"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00"/>
          </w:cols>
          <w:pgMar w:left="980" w:top="1005" w:right="1119" w:bottom="1440" w:gutter="0" w:footer="0" w:header="0"/>
        </w:sectPr>
      </w:pPr>
    </w:p>
    <w:bookmarkStart w:id="82" w:name="page83"/>
    <w:bookmarkEnd w:id="82"/>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03" w:right="1440"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WOLVERINE WORLD WIDE, INC.</w:t>
      </w:r>
    </w:p>
    <w:p>
      <w:pPr>
        <w:spacing w:after="0" w:line="293" w:lineRule="exact"/>
        <w:rPr>
          <w:sz w:val="20"/>
          <w:szCs w:val="20"/>
          <w:color w:val="auto"/>
        </w:rPr>
      </w:pPr>
    </w:p>
    <w:p>
      <w:pPr>
        <w:ind w:left="20"/>
        <w:spacing w:after="0"/>
        <w:tabs>
          <w:tab w:leader="none" w:pos="720" w:val="left"/>
          <w:tab w:leader="none" w:pos="3700" w:val="left"/>
          <w:tab w:leader="none" w:pos="41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Christopher E. Hufnagel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17145</wp:posOffset>
            </wp:positionV>
            <wp:extent cx="447484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9">
                      <a:extLst>
                        <a:ext uri="{28A0092B-C50C-407E-A947-70E740481C1C}"/>
                      </a:extLst>
                    </a:blip>
                    <a:srcRect/>
                    <a:stretch>
                      <a:fillRect/>
                    </a:stretch>
                  </pic:blipFill>
                  <pic:spPr bwMode="auto">
                    <a:xfrm>
                      <a:off x="0" y="0"/>
                      <a:ext cx="4474845" cy="8255"/>
                    </a:xfrm>
                    <a:prstGeom prst="rect">
                      <a:avLst/>
                    </a:prstGeom>
                    <a:noFill/>
                  </pic:spPr>
                </pic:pic>
              </a:graphicData>
            </a:graphic>
          </wp:anchor>
        </w:drawing>
      </w:r>
    </w:p>
    <w:p>
      <w:pPr>
        <w:spacing w:after="0" w:line="1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Christopher E. Hufnagel</w:t>
      </w:r>
    </w:p>
    <w:p>
      <w:pPr>
        <w:spacing w:after="0" w:line="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President and Chief Executive Officer (Principal Executive Officer)</w:t>
      </w:r>
    </w:p>
    <w:p>
      <w:pPr>
        <w:spacing w:after="0" w:line="28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174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440" w:type="dxa"/>
            <w:vAlign w:val="bottom"/>
          </w:tcPr>
          <w:p>
            <w:pPr>
              <w:spacing w:after="0"/>
              <w:rPr>
                <w:sz w:val="16"/>
                <w:szCs w:val="16"/>
                <w:color w:val="auto"/>
              </w:rPr>
            </w:pPr>
          </w:p>
        </w:tc>
        <w:tc>
          <w:tcPr>
            <w:tcW w:w="4640" w:type="dxa"/>
            <w:vAlign w:val="bottom"/>
            <w:gridSpan w:val="2"/>
          </w:tcPr>
          <w:p>
            <w:pPr>
              <w:ind w:left="19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3"/>
        </w:trPr>
        <w:tc>
          <w:tcPr>
            <w:tcW w:w="40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Christopher E. Hufnagel</w:t>
            </w:r>
          </w:p>
        </w:tc>
        <w:tc>
          <w:tcPr>
            <w:tcW w:w="440" w:type="dxa"/>
            <w:vAlign w:val="bottom"/>
          </w:tcPr>
          <w:p>
            <w:pPr>
              <w:spacing w:after="0"/>
              <w:rPr>
                <w:sz w:val="21"/>
                <w:szCs w:val="21"/>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February 20, 2025</w:t>
            </w:r>
          </w:p>
        </w:tc>
        <w:tc>
          <w:tcPr>
            <w:tcW w:w="0" w:type="dxa"/>
            <w:vAlign w:val="bottom"/>
          </w:tcPr>
          <w:p>
            <w:pPr>
              <w:spacing w:after="0"/>
              <w:rPr>
                <w:sz w:val="1"/>
                <w:szCs w:val="1"/>
                <w:color w:val="auto"/>
              </w:rPr>
            </w:pPr>
          </w:p>
        </w:tc>
      </w:tr>
      <w:tr>
        <w:trPr>
          <w:trHeight w:val="149"/>
        </w:trPr>
        <w:tc>
          <w:tcPr>
            <w:tcW w:w="406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4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4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Christopher E. Hufnagel</w:t>
            </w:r>
          </w:p>
        </w:tc>
        <w:tc>
          <w:tcPr>
            <w:tcW w:w="440" w:type="dxa"/>
            <w:vAlign w:val="bottom"/>
          </w:tcPr>
          <w:p>
            <w:pPr>
              <w:spacing w:after="0"/>
              <w:rPr>
                <w:sz w:val="5"/>
                <w:szCs w:val="5"/>
                <w:color w:val="auto"/>
              </w:rPr>
            </w:pPr>
          </w:p>
        </w:tc>
        <w:tc>
          <w:tcPr>
            <w:tcW w:w="4640" w:type="dxa"/>
            <w:vAlign w:val="bottom"/>
            <w:gridSpan w:val="2"/>
            <w:vMerge w:val="continue"/>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40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1"/>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Taryn L. Miller</w:t>
            </w:r>
          </w:p>
        </w:tc>
        <w:tc>
          <w:tcPr>
            <w:tcW w:w="440" w:type="dxa"/>
            <w:vAlign w:val="bottom"/>
          </w:tcPr>
          <w:p>
            <w:pPr>
              <w:spacing w:after="0"/>
              <w:rPr>
                <w:sz w:val="24"/>
                <w:szCs w:val="24"/>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February 20, 2025</w:t>
            </w:r>
          </w:p>
        </w:tc>
        <w:tc>
          <w:tcPr>
            <w:tcW w:w="0" w:type="dxa"/>
            <w:vAlign w:val="bottom"/>
          </w:tcPr>
          <w:p>
            <w:pPr>
              <w:spacing w:after="0"/>
              <w:rPr>
                <w:sz w:val="1"/>
                <w:szCs w:val="1"/>
                <w:color w:val="auto"/>
              </w:rPr>
            </w:pPr>
          </w:p>
        </w:tc>
      </w:tr>
      <w:tr>
        <w:trPr>
          <w:trHeight w:val="149"/>
        </w:trPr>
        <w:tc>
          <w:tcPr>
            <w:tcW w:w="406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4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4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Taryn L. Miller</w:t>
            </w:r>
          </w:p>
        </w:tc>
        <w:tc>
          <w:tcPr>
            <w:tcW w:w="440" w:type="dxa"/>
            <w:vAlign w:val="bottom"/>
          </w:tcPr>
          <w:p>
            <w:pPr>
              <w:spacing w:after="0"/>
              <w:rPr>
                <w:sz w:val="5"/>
                <w:szCs w:val="5"/>
                <w:color w:val="auto"/>
              </w:rPr>
            </w:pPr>
          </w:p>
        </w:tc>
        <w:tc>
          <w:tcPr>
            <w:tcW w:w="4640" w:type="dxa"/>
            <w:vAlign w:val="bottom"/>
            <w:gridSpan w:val="2"/>
            <w:vMerge w:val="continue"/>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40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8"/>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Nicholas T. Long</w:t>
            </w:r>
          </w:p>
        </w:tc>
        <w:tc>
          <w:tcPr>
            <w:tcW w:w="440" w:type="dxa"/>
            <w:vAlign w:val="bottom"/>
          </w:tcPr>
          <w:p>
            <w:pPr>
              <w:spacing w:after="0"/>
              <w:rPr>
                <w:sz w:val="24"/>
                <w:szCs w:val="24"/>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Chairman of the Board</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2025</w:t>
            </w:r>
          </w:p>
        </w:tc>
        <w:tc>
          <w:tcPr>
            <w:tcW w:w="0" w:type="dxa"/>
            <w:vAlign w:val="bottom"/>
          </w:tcPr>
          <w:p>
            <w:pPr>
              <w:spacing w:after="0"/>
              <w:rPr>
                <w:sz w:val="1"/>
                <w:szCs w:val="1"/>
                <w:color w:val="auto"/>
              </w:rPr>
            </w:pPr>
          </w:p>
        </w:tc>
      </w:tr>
      <w:tr>
        <w:trPr>
          <w:trHeight w:val="228"/>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Nicholas T. Long</w:t>
            </w:r>
          </w:p>
        </w:tc>
        <w:tc>
          <w:tcPr>
            <w:tcW w:w="44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Stacia J.P. Andersen</w:t>
            </w:r>
          </w:p>
        </w:tc>
        <w:tc>
          <w:tcPr>
            <w:tcW w:w="440" w:type="dxa"/>
            <w:vAlign w:val="bottom"/>
          </w:tcPr>
          <w:p>
            <w:pPr>
              <w:spacing w:after="0"/>
              <w:rPr>
                <w:sz w:val="24"/>
                <w:szCs w:val="24"/>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2025</w:t>
            </w:r>
          </w:p>
        </w:tc>
        <w:tc>
          <w:tcPr>
            <w:tcW w:w="0" w:type="dxa"/>
            <w:vAlign w:val="bottom"/>
          </w:tcPr>
          <w:p>
            <w:pPr>
              <w:spacing w:after="0"/>
              <w:rPr>
                <w:sz w:val="1"/>
                <w:szCs w:val="1"/>
                <w:color w:val="auto"/>
              </w:rPr>
            </w:pPr>
          </w:p>
        </w:tc>
      </w:tr>
      <w:tr>
        <w:trPr>
          <w:trHeight w:val="228"/>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Stacia J.P. Andersen</w:t>
            </w:r>
          </w:p>
        </w:tc>
        <w:tc>
          <w:tcPr>
            <w:tcW w:w="44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Jeffrey M. Boromisa</w:t>
            </w:r>
          </w:p>
        </w:tc>
        <w:tc>
          <w:tcPr>
            <w:tcW w:w="440" w:type="dxa"/>
            <w:vAlign w:val="bottom"/>
          </w:tcPr>
          <w:p>
            <w:pPr>
              <w:spacing w:after="0"/>
              <w:rPr>
                <w:sz w:val="24"/>
                <w:szCs w:val="24"/>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2025</w:t>
            </w:r>
          </w:p>
        </w:tc>
        <w:tc>
          <w:tcPr>
            <w:tcW w:w="0" w:type="dxa"/>
            <w:vAlign w:val="bottom"/>
          </w:tcPr>
          <w:p>
            <w:pPr>
              <w:spacing w:after="0"/>
              <w:rPr>
                <w:sz w:val="1"/>
                <w:szCs w:val="1"/>
                <w:color w:val="auto"/>
              </w:rPr>
            </w:pPr>
          </w:p>
        </w:tc>
      </w:tr>
      <w:tr>
        <w:trPr>
          <w:trHeight w:val="228"/>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Jeffrey M. Boromisa</w:t>
            </w:r>
          </w:p>
        </w:tc>
        <w:tc>
          <w:tcPr>
            <w:tcW w:w="44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Jodi Bricker</w:t>
            </w:r>
          </w:p>
        </w:tc>
        <w:tc>
          <w:tcPr>
            <w:tcW w:w="440" w:type="dxa"/>
            <w:vAlign w:val="bottom"/>
          </w:tcPr>
          <w:p>
            <w:pPr>
              <w:spacing w:after="0"/>
              <w:rPr>
                <w:sz w:val="24"/>
                <w:szCs w:val="24"/>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2025</w:t>
            </w:r>
          </w:p>
        </w:tc>
        <w:tc>
          <w:tcPr>
            <w:tcW w:w="0" w:type="dxa"/>
            <w:vAlign w:val="bottom"/>
          </w:tcPr>
          <w:p>
            <w:pPr>
              <w:spacing w:after="0"/>
              <w:rPr>
                <w:sz w:val="1"/>
                <w:szCs w:val="1"/>
                <w:color w:val="auto"/>
              </w:rPr>
            </w:pPr>
          </w:p>
        </w:tc>
      </w:tr>
      <w:tr>
        <w:trPr>
          <w:trHeight w:val="228"/>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Jodi Bricker</w:t>
            </w:r>
          </w:p>
        </w:tc>
        <w:tc>
          <w:tcPr>
            <w:tcW w:w="44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William K. Gerber</w:t>
            </w:r>
          </w:p>
        </w:tc>
        <w:tc>
          <w:tcPr>
            <w:tcW w:w="440" w:type="dxa"/>
            <w:vAlign w:val="bottom"/>
          </w:tcPr>
          <w:p>
            <w:pPr>
              <w:spacing w:after="0"/>
              <w:rPr>
                <w:sz w:val="24"/>
                <w:szCs w:val="24"/>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2025</w:t>
            </w:r>
          </w:p>
        </w:tc>
        <w:tc>
          <w:tcPr>
            <w:tcW w:w="0" w:type="dxa"/>
            <w:vAlign w:val="bottom"/>
          </w:tcPr>
          <w:p>
            <w:pPr>
              <w:spacing w:after="0"/>
              <w:rPr>
                <w:sz w:val="1"/>
                <w:szCs w:val="1"/>
                <w:color w:val="auto"/>
              </w:rPr>
            </w:pPr>
          </w:p>
        </w:tc>
      </w:tr>
      <w:tr>
        <w:trPr>
          <w:trHeight w:val="228"/>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K. Gerber</w:t>
            </w:r>
          </w:p>
        </w:tc>
        <w:tc>
          <w:tcPr>
            <w:tcW w:w="44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T. Kollat</w:t>
            </w:r>
          </w:p>
        </w:tc>
        <w:tc>
          <w:tcPr>
            <w:tcW w:w="440" w:type="dxa"/>
            <w:vAlign w:val="bottom"/>
          </w:tcPr>
          <w:p>
            <w:pPr>
              <w:spacing w:after="0"/>
              <w:rPr>
                <w:sz w:val="24"/>
                <w:szCs w:val="24"/>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2025</w:t>
            </w:r>
          </w:p>
        </w:tc>
        <w:tc>
          <w:tcPr>
            <w:tcW w:w="0" w:type="dxa"/>
            <w:vAlign w:val="bottom"/>
          </w:tcPr>
          <w:p>
            <w:pPr>
              <w:spacing w:after="0"/>
              <w:rPr>
                <w:sz w:val="1"/>
                <w:szCs w:val="1"/>
                <w:color w:val="auto"/>
              </w:rPr>
            </w:pPr>
          </w:p>
        </w:tc>
      </w:tr>
      <w:tr>
        <w:trPr>
          <w:trHeight w:val="228"/>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T. Kollat</w:t>
            </w:r>
          </w:p>
        </w:tc>
        <w:tc>
          <w:tcPr>
            <w:tcW w:w="44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Brenda J. Lauderback</w:t>
            </w:r>
          </w:p>
        </w:tc>
        <w:tc>
          <w:tcPr>
            <w:tcW w:w="440" w:type="dxa"/>
            <w:vAlign w:val="bottom"/>
          </w:tcPr>
          <w:p>
            <w:pPr>
              <w:spacing w:after="0"/>
              <w:rPr>
                <w:sz w:val="24"/>
                <w:szCs w:val="24"/>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2025</w:t>
            </w:r>
          </w:p>
        </w:tc>
        <w:tc>
          <w:tcPr>
            <w:tcW w:w="0" w:type="dxa"/>
            <w:vAlign w:val="bottom"/>
          </w:tcPr>
          <w:p>
            <w:pPr>
              <w:spacing w:after="0"/>
              <w:rPr>
                <w:sz w:val="1"/>
                <w:szCs w:val="1"/>
                <w:color w:val="auto"/>
              </w:rPr>
            </w:pPr>
          </w:p>
        </w:tc>
      </w:tr>
      <w:tr>
        <w:trPr>
          <w:trHeight w:val="228"/>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Brenda J. Lauderback</w:t>
            </w:r>
          </w:p>
        </w:tc>
        <w:tc>
          <w:tcPr>
            <w:tcW w:w="44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DeMonty Price</w:t>
            </w:r>
          </w:p>
        </w:tc>
        <w:tc>
          <w:tcPr>
            <w:tcW w:w="440" w:type="dxa"/>
            <w:vAlign w:val="bottom"/>
          </w:tcPr>
          <w:p>
            <w:pPr>
              <w:spacing w:after="0"/>
              <w:rPr>
                <w:sz w:val="24"/>
                <w:szCs w:val="24"/>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2025</w:t>
            </w:r>
          </w:p>
        </w:tc>
        <w:tc>
          <w:tcPr>
            <w:tcW w:w="0" w:type="dxa"/>
            <w:vAlign w:val="bottom"/>
          </w:tcPr>
          <w:p>
            <w:pPr>
              <w:spacing w:after="0"/>
              <w:rPr>
                <w:sz w:val="1"/>
                <w:szCs w:val="1"/>
                <w:color w:val="auto"/>
              </w:rPr>
            </w:pPr>
          </w:p>
        </w:tc>
      </w:tr>
      <w:tr>
        <w:trPr>
          <w:trHeight w:val="228"/>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DeMonty Price</w:t>
            </w:r>
          </w:p>
        </w:tc>
        <w:tc>
          <w:tcPr>
            <w:tcW w:w="44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Kathleen Wilson-Thompson</w:t>
            </w:r>
          </w:p>
        </w:tc>
        <w:tc>
          <w:tcPr>
            <w:tcW w:w="440" w:type="dxa"/>
            <w:vAlign w:val="bottom"/>
          </w:tcPr>
          <w:p>
            <w:pPr>
              <w:spacing w:after="0"/>
              <w:rPr>
                <w:sz w:val="24"/>
                <w:szCs w:val="24"/>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2025</w:t>
            </w:r>
          </w:p>
        </w:tc>
        <w:tc>
          <w:tcPr>
            <w:tcW w:w="0" w:type="dxa"/>
            <w:vAlign w:val="bottom"/>
          </w:tcPr>
          <w:p>
            <w:pPr>
              <w:spacing w:after="0"/>
              <w:rPr>
                <w:sz w:val="1"/>
                <w:szCs w:val="1"/>
                <w:color w:val="auto"/>
              </w:rPr>
            </w:pPr>
          </w:p>
        </w:tc>
      </w:tr>
      <w:tr>
        <w:trPr>
          <w:trHeight w:val="228"/>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Kathleen Wilson-Thompson</w:t>
            </w:r>
          </w:p>
        </w:tc>
        <w:tc>
          <w:tcPr>
            <w:tcW w:w="44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9"/>
        </w:trPr>
        <w:tc>
          <w:tcPr>
            <w:tcW w:w="4060" w:type="dxa"/>
            <w:vAlign w:val="bottom"/>
          </w:tcPr>
          <w:p>
            <w:pPr>
              <w:spacing w:after="0"/>
              <w:rPr>
                <w:sz w:val="24"/>
                <w:szCs w:val="24"/>
                <w:color w:val="auto"/>
              </w:rPr>
            </w:pPr>
          </w:p>
        </w:tc>
        <w:tc>
          <w:tcPr>
            <w:tcW w:w="4640" w:type="dxa"/>
            <w:vAlign w:val="bottom"/>
            <w:gridSpan w:val="2"/>
          </w:tcPr>
          <w:p>
            <w:pPr>
              <w:jc w:val="right"/>
              <w:ind w:right="2891"/>
              <w:spacing w:after="0"/>
              <w:rPr>
                <w:sz w:val="20"/>
                <w:szCs w:val="20"/>
                <w:color w:val="auto"/>
              </w:rPr>
            </w:pPr>
            <w:r>
              <w:rPr>
                <w:rFonts w:ascii="Times New Roman" w:cs="Times New Roman" w:eastAsia="Times New Roman" w:hAnsi="Times New Roman"/>
                <w:sz w:val="18"/>
                <w:szCs w:val="18"/>
                <w:color w:val="auto"/>
              </w:rPr>
              <w:t>84</w:t>
            </w:r>
          </w:p>
        </w:tc>
        <w:tc>
          <w:tcPr>
            <w:tcW w:w="4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2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Wolverine World Wide, Inc. and Subsidiaries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Balance at</w:t>
            </w:r>
          </w:p>
        </w:tc>
        <w:tc>
          <w:tcPr>
            <w:tcW w:w="180" w:type="dxa"/>
            <w:vAlign w:val="bottom"/>
          </w:tcPr>
          <w:p>
            <w:pPr>
              <w:spacing w:after="0"/>
              <w:rPr>
                <w:sz w:val="13"/>
                <w:szCs w:val="13"/>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Charged to</w:t>
            </w:r>
          </w:p>
        </w:tc>
        <w:tc>
          <w:tcPr>
            <w:tcW w:w="180" w:type="dxa"/>
            <w:vAlign w:val="bottom"/>
          </w:tcPr>
          <w:p>
            <w:pPr>
              <w:spacing w:after="0"/>
              <w:rPr>
                <w:sz w:val="13"/>
                <w:szCs w:val="13"/>
                <w:color w:val="auto"/>
              </w:rPr>
            </w:pPr>
          </w:p>
        </w:tc>
        <w:tc>
          <w:tcPr>
            <w:tcW w:w="100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color w:val="auto"/>
              </w:rPr>
              <w:t>Deductions</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right"/>
              <w:ind w:right="193"/>
              <w:spacing w:after="0"/>
              <w:rPr>
                <w:sz w:val="20"/>
                <w:szCs w:val="20"/>
                <w:color w:val="auto"/>
              </w:rPr>
            </w:pPr>
            <w:r>
              <w:rPr>
                <w:rFonts w:ascii="Times New Roman" w:cs="Times New Roman" w:eastAsia="Times New Roman" w:hAnsi="Times New Roman"/>
                <w:sz w:val="14"/>
                <w:szCs w:val="14"/>
                <w:color w:val="auto"/>
              </w:rPr>
              <w:t>Balance at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6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Beginning of</w:t>
            </w:r>
          </w:p>
        </w:tc>
        <w:tc>
          <w:tcPr>
            <w:tcW w:w="1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Costs and</w:t>
            </w:r>
          </w:p>
        </w:tc>
        <w:tc>
          <w:tcPr>
            <w:tcW w:w="1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ind w:right="313"/>
              <w:spacing w:after="0" w:line="149" w:lineRule="exact"/>
              <w:rPr>
                <w:sz w:val="20"/>
                <w:szCs w:val="20"/>
                <w:color w:val="auto"/>
              </w:rPr>
            </w:pPr>
            <w:r>
              <w:rPr>
                <w:rFonts w:ascii="Times New Roman" w:cs="Times New Roman" w:eastAsia="Times New Roman" w:hAnsi="Times New Roman"/>
                <w:sz w:val="14"/>
                <w:szCs w:val="14"/>
                <w:color w:val="auto"/>
              </w:rPr>
              <w:t>End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Period</w:t>
            </w:r>
          </w:p>
        </w:tc>
        <w:tc>
          <w:tcPr>
            <w:tcW w:w="1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Expenses</w:t>
            </w:r>
          </w:p>
        </w:tc>
        <w:tc>
          <w:tcPr>
            <w:tcW w:w="180" w:type="dxa"/>
            <w:vAlign w:val="bottom"/>
          </w:tcPr>
          <w:p>
            <w:pPr>
              <w:spacing w:after="0"/>
              <w:rPr>
                <w:sz w:val="12"/>
                <w:szCs w:val="12"/>
                <w:color w:val="auto"/>
              </w:rPr>
            </w:pPr>
          </w:p>
        </w:tc>
        <w:tc>
          <w:tcPr>
            <w:tcW w:w="1000" w:type="dxa"/>
            <w:vAlign w:val="bottom"/>
          </w:tcPr>
          <w:p>
            <w:pPr>
              <w:jc w:val="right"/>
              <w:ind w:right="192"/>
              <w:spacing w:after="0" w:line="149" w:lineRule="exact"/>
              <w:rPr>
                <w:sz w:val="20"/>
                <w:szCs w:val="20"/>
                <w:color w:val="auto"/>
              </w:rPr>
            </w:pPr>
            <w:r>
              <w:rPr>
                <w:rFonts w:ascii="Times New Roman" w:cs="Times New Roman" w:eastAsia="Times New Roman" w:hAnsi="Times New Roman"/>
                <w:sz w:val="14"/>
                <w:szCs w:val="14"/>
                <w:color w:val="auto"/>
              </w:rPr>
              <w:t>(Describe)</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ind w:right="313"/>
              <w:spacing w:after="0" w:line="149" w:lineRule="exact"/>
              <w:rPr>
                <w:sz w:val="20"/>
                <w:szCs w:val="20"/>
                <w:color w:val="auto"/>
              </w:rPr>
            </w:pPr>
            <w:r>
              <w:rPr>
                <w:rFonts w:ascii="Times New Roman" w:cs="Times New Roman" w:eastAsia="Times New Roman" w:hAnsi="Times New Roman"/>
                <w:sz w:val="14"/>
                <w:szCs w:val="14"/>
                <w:color w:val="auto"/>
              </w:rPr>
              <w:t>Period</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Fiscal Year Ended December 28, 2024</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Product returns reserve</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Allowance for cash discounts and customer markdowns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Inventory valuation allowances</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6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6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Fiscal Year Ended December 30, 2023</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Product returns reserve</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Allowance for cash discounts and customer markdowns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Inventory valuation allowances</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6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6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Fiscal Year Ended December 31, 2022</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Product returns reserve</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Allowance for cash discounts and customer markdowns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Inventory valuation allowances</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6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80"/>
        <w:spacing w:after="0"/>
        <w:tabs>
          <w:tab w:leader="none" w:pos="46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Accounts charged off, net of recoveries.</w:t>
      </w:r>
    </w:p>
    <w:p>
      <w:pPr>
        <w:spacing w:after="0" w:line="117" w:lineRule="exact"/>
        <w:rPr>
          <w:sz w:val="20"/>
          <w:szCs w:val="20"/>
          <w:color w:val="auto"/>
        </w:rPr>
      </w:pPr>
    </w:p>
    <w:p>
      <w:pPr>
        <w:ind w:left="80"/>
        <w:spacing w:after="0"/>
        <w:tabs>
          <w:tab w:leader="none" w:pos="48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7"/>
          <w:szCs w:val="17"/>
          <w:color w:val="auto"/>
        </w:rPr>
        <w:t>Actual customer returns.</w:t>
      </w:r>
    </w:p>
    <w:p>
      <w:pPr>
        <w:spacing w:after="0" w:line="117" w:lineRule="exact"/>
        <w:rPr>
          <w:sz w:val="20"/>
          <w:szCs w:val="20"/>
          <w:color w:val="auto"/>
        </w:rPr>
      </w:pPr>
    </w:p>
    <w:p>
      <w:pPr>
        <w:ind w:left="80"/>
        <w:spacing w:after="0"/>
        <w:tabs>
          <w:tab w:leader="none" w:pos="480" w:val="left"/>
        </w:tabs>
        <w:rPr>
          <w:sz w:val="20"/>
          <w:szCs w:val="20"/>
          <w:color w:val="auto"/>
        </w:rPr>
      </w:pPr>
      <w:r>
        <w:rPr>
          <w:rFonts w:ascii="Times New Roman" w:cs="Times New Roman" w:eastAsia="Times New Roman" w:hAnsi="Times New Roman"/>
          <w:sz w:val="18"/>
          <w:szCs w:val="18"/>
          <w:color w:val="auto"/>
        </w:rPr>
        <w:t>(C)</w:t>
      </w:r>
      <w:r>
        <w:rPr>
          <w:sz w:val="20"/>
          <w:szCs w:val="20"/>
          <w:color w:val="auto"/>
        </w:rPr>
        <w:tab/>
      </w:r>
      <w:r>
        <w:rPr>
          <w:rFonts w:ascii="Times New Roman" w:cs="Times New Roman" w:eastAsia="Times New Roman" w:hAnsi="Times New Roman"/>
          <w:sz w:val="17"/>
          <w:szCs w:val="17"/>
          <w:color w:val="auto"/>
        </w:rPr>
        <w:t>Discounts given to customers.</w:t>
      </w:r>
    </w:p>
    <w:p>
      <w:pPr>
        <w:spacing w:after="0" w:line="117" w:lineRule="exact"/>
        <w:rPr>
          <w:sz w:val="20"/>
          <w:szCs w:val="20"/>
          <w:color w:val="auto"/>
        </w:rPr>
      </w:pPr>
    </w:p>
    <w:p>
      <w:pPr>
        <w:ind w:left="80"/>
        <w:spacing w:after="0"/>
        <w:tabs>
          <w:tab w:leader="none" w:pos="46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color w:val="auto"/>
        </w:rPr>
        <w:t>Adjustment upon disposal of related inventories.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240"/>
          </w:cols>
          <w:pgMar w:left="320" w:top="887"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500" w:firstLine="648"/>
        <w:spacing w:after="0" w:line="313" w:lineRule="auto"/>
        <w:rPr>
          <w:sz w:val="20"/>
          <w:szCs w:val="20"/>
          <w:color w:val="auto"/>
        </w:rPr>
      </w:pPr>
      <w:r>
        <w:rPr>
          <w:rFonts w:ascii="Times New Roman" w:cs="Times New Roman" w:eastAsia="Times New Roman" w:hAnsi="Times New Roman"/>
          <w:sz w:val="18"/>
          <w:szCs w:val="18"/>
          <w:color w:val="auto"/>
        </w:rPr>
        <w:t>The following current and former executive officers have entered into Executive Severance Agreements with the Company in the form filed herewith. The information listed below is inserted into the blanks for the respective executive officer’s Executive Severance Agreement.</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800" w:type="dxa"/>
            <w:vAlign w:val="bottom"/>
          </w:tcPr>
          <w:p>
            <w:pPr>
              <w:spacing w:after="0"/>
              <w:rPr>
                <w:sz w:val="17"/>
                <w:szCs w:val="17"/>
                <w:color w:val="auto"/>
              </w:rPr>
            </w:pPr>
          </w:p>
        </w:tc>
        <w:tc>
          <w:tcPr>
            <w:tcW w:w="3640" w:type="dxa"/>
            <w:vAlign w:val="bottom"/>
            <w:vMerge w:val="restart"/>
          </w:tcPr>
          <w:p>
            <w:pPr>
              <w:ind w:left="1580"/>
              <w:spacing w:after="0"/>
              <w:rPr>
                <w:sz w:val="20"/>
                <w:szCs w:val="20"/>
                <w:color w:val="auto"/>
              </w:rPr>
            </w:pPr>
            <w:r>
              <w:rPr>
                <w:rFonts w:ascii="Times New Roman" w:cs="Times New Roman" w:eastAsia="Times New Roman" w:hAnsi="Times New Roman"/>
                <w:sz w:val="18"/>
                <w:szCs w:val="18"/>
                <w:b w:val="1"/>
                <w:bCs w:val="1"/>
                <w:color w:val="auto"/>
              </w:rPr>
              <w:t>Salary Multiplier Rate</w:t>
            </w:r>
          </w:p>
        </w:tc>
        <w:tc>
          <w:tcPr>
            <w:tcW w:w="22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Termination Period</w:t>
            </w:r>
          </w:p>
        </w:tc>
        <w:tc>
          <w:tcPr>
            <w:tcW w:w="20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Change of Control</w:t>
            </w: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p>
        </w:tc>
        <w:tc>
          <w:tcPr>
            <w:tcW w:w="3640" w:type="dxa"/>
            <w:vAlign w:val="bottom"/>
            <w:vMerge w:val="continue"/>
          </w:tcPr>
          <w:p>
            <w:pPr>
              <w:spacing w:after="0"/>
              <w:rPr>
                <w:sz w:val="20"/>
                <w:szCs w:val="20"/>
                <w:color w:val="auto"/>
              </w:rPr>
            </w:pPr>
          </w:p>
        </w:tc>
        <w:tc>
          <w:tcPr>
            <w:tcW w:w="2260" w:type="dxa"/>
            <w:vAlign w:val="bottom"/>
            <w:vMerge w:val="continue"/>
          </w:tcPr>
          <w:p>
            <w:pPr>
              <w:spacing w:after="0"/>
              <w:rPr>
                <w:sz w:val="20"/>
                <w:szCs w:val="20"/>
                <w:color w:val="auto"/>
              </w:rPr>
            </w:pPr>
          </w:p>
        </w:tc>
        <w:tc>
          <w:tcPr>
            <w:tcW w:w="20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w w:val="97"/>
              </w:rPr>
              <w:t>Continuation Period</w:t>
            </w:r>
          </w:p>
        </w:tc>
        <w:tc>
          <w:tcPr>
            <w:tcW w:w="0" w:type="dxa"/>
            <w:vAlign w:val="bottom"/>
          </w:tcPr>
          <w:p>
            <w:pPr>
              <w:spacing w:after="0"/>
              <w:rPr>
                <w:sz w:val="1"/>
                <w:szCs w:val="1"/>
                <w:color w:val="auto"/>
              </w:rPr>
            </w:pPr>
          </w:p>
        </w:tc>
      </w:tr>
      <w:tr>
        <w:trPr>
          <w:trHeight w:val="238"/>
        </w:trPr>
        <w:tc>
          <w:tcPr>
            <w:tcW w:w="2800" w:type="dxa"/>
            <w:vAlign w:val="bottom"/>
          </w:tcPr>
          <w:p>
            <w:pPr>
              <w:spacing w:after="0"/>
              <w:rPr>
                <w:sz w:val="20"/>
                <w:szCs w:val="20"/>
                <w:color w:val="auto"/>
              </w:rPr>
            </w:pPr>
          </w:p>
        </w:tc>
        <w:tc>
          <w:tcPr>
            <w:tcW w:w="3640" w:type="dxa"/>
            <w:vAlign w:val="bottom"/>
          </w:tcPr>
          <w:p>
            <w:pPr>
              <w:ind w:left="1580"/>
              <w:spacing w:after="0"/>
              <w:rPr>
                <w:sz w:val="20"/>
                <w:szCs w:val="20"/>
                <w:color w:val="auto"/>
              </w:rPr>
            </w:pPr>
            <w:r>
              <w:rPr>
                <w:rFonts w:ascii="Times New Roman" w:cs="Times New Roman" w:eastAsia="Times New Roman" w:hAnsi="Times New Roman"/>
                <w:sz w:val="18"/>
                <w:szCs w:val="18"/>
                <w:b w:val="1"/>
                <w:bCs w:val="1"/>
                <w:color w:val="auto"/>
              </w:rPr>
              <w:t>(Section 4(a)(4))</w:t>
            </w:r>
          </w:p>
        </w:tc>
        <w:tc>
          <w:tcPr>
            <w:tcW w:w="22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(Section 1(n))</w:t>
            </w:r>
          </w:p>
        </w:tc>
        <w:tc>
          <w:tcPr>
            <w:tcW w:w="20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2)</w:t>
            </w:r>
          </w:p>
        </w:tc>
        <w:tc>
          <w:tcPr>
            <w:tcW w:w="0" w:type="dxa"/>
            <w:vAlign w:val="bottom"/>
          </w:tcPr>
          <w:p>
            <w:pPr>
              <w:spacing w:after="0"/>
              <w:rPr>
                <w:sz w:val="1"/>
                <w:szCs w:val="1"/>
                <w:color w:val="auto"/>
              </w:rPr>
            </w:pPr>
          </w:p>
        </w:tc>
      </w:tr>
      <w:tr>
        <w:trPr>
          <w:trHeight w:val="44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James D. Zwiers</w:t>
            </w:r>
          </w:p>
        </w:tc>
        <w:tc>
          <w:tcPr>
            <w:tcW w:w="36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2</w:t>
            </w:r>
          </w:p>
        </w:tc>
        <w:tc>
          <w:tcPr>
            <w:tcW w:w="2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 years</w:t>
            </w:r>
          </w:p>
        </w:tc>
        <w:tc>
          <w:tcPr>
            <w:tcW w:w="2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24 months</w:t>
            </w:r>
          </w:p>
        </w:tc>
        <w:tc>
          <w:tcPr>
            <w:tcW w:w="0" w:type="dxa"/>
            <w:vAlign w:val="bottom"/>
          </w:tcPr>
          <w:p>
            <w:pPr>
              <w:spacing w:after="0"/>
              <w:rPr>
                <w:sz w:val="1"/>
                <w:szCs w:val="1"/>
                <w:color w:val="auto"/>
              </w:rPr>
            </w:pPr>
          </w:p>
        </w:tc>
      </w:tr>
    </w:tbl>
    <w:p>
      <w:pPr>
        <w:sectPr>
          <w:pgSz w:w="11900" w:h="16838" w:orient="portrait"/>
          <w:cols w:equalWidth="0" w:num="1">
            <w:col w:w="11240"/>
          </w:cols>
          <w:pgMar w:left="320" w:top="360"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300" w:firstLine="648"/>
        <w:spacing w:after="0" w:line="313" w:lineRule="auto"/>
        <w:rPr>
          <w:sz w:val="20"/>
          <w:szCs w:val="20"/>
          <w:color w:val="auto"/>
        </w:rPr>
      </w:pPr>
      <w:r>
        <w:rPr>
          <w:rFonts w:ascii="Times New Roman" w:cs="Times New Roman" w:eastAsia="Times New Roman" w:hAnsi="Times New Roman"/>
          <w:sz w:val="18"/>
          <w:szCs w:val="18"/>
          <w:color w:val="auto"/>
        </w:rPr>
        <w:t>The following current executive officers have entered into Executive Severance Agreements with the Company in the form filed herewith. The information listed below is inserted into the blanks for the respective executive officer’s Executive Severance Agreement.</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880" w:type="dxa"/>
            <w:vAlign w:val="bottom"/>
          </w:tcPr>
          <w:p>
            <w:pPr>
              <w:spacing w:after="0"/>
              <w:rPr>
                <w:sz w:val="17"/>
                <w:szCs w:val="17"/>
                <w:color w:val="auto"/>
              </w:rPr>
            </w:pPr>
          </w:p>
        </w:tc>
        <w:tc>
          <w:tcPr>
            <w:tcW w:w="3560" w:type="dxa"/>
            <w:vAlign w:val="bottom"/>
            <w:vMerge w:val="restart"/>
          </w:tcPr>
          <w:p>
            <w:pPr>
              <w:ind w:left="1500"/>
              <w:spacing w:after="0"/>
              <w:rPr>
                <w:sz w:val="20"/>
                <w:szCs w:val="20"/>
                <w:color w:val="auto"/>
              </w:rPr>
            </w:pPr>
            <w:r>
              <w:rPr>
                <w:rFonts w:ascii="Times New Roman" w:cs="Times New Roman" w:eastAsia="Times New Roman" w:hAnsi="Times New Roman"/>
                <w:sz w:val="18"/>
                <w:szCs w:val="18"/>
                <w:b w:val="1"/>
                <w:bCs w:val="1"/>
                <w:color w:val="auto"/>
              </w:rPr>
              <w:t>Salary Multiplier Rate</w:t>
            </w:r>
          </w:p>
        </w:tc>
        <w:tc>
          <w:tcPr>
            <w:tcW w:w="22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Termination Period</w:t>
            </w:r>
          </w:p>
        </w:tc>
        <w:tc>
          <w:tcPr>
            <w:tcW w:w="20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Change of Control</w:t>
            </w:r>
          </w:p>
        </w:tc>
        <w:tc>
          <w:tcPr>
            <w:tcW w:w="0" w:type="dxa"/>
            <w:vAlign w:val="bottom"/>
          </w:tcPr>
          <w:p>
            <w:pPr>
              <w:spacing w:after="0"/>
              <w:rPr>
                <w:sz w:val="1"/>
                <w:szCs w:val="1"/>
                <w:color w:val="auto"/>
              </w:rPr>
            </w:pPr>
          </w:p>
        </w:tc>
      </w:tr>
      <w:tr>
        <w:trPr>
          <w:trHeight w:val="234"/>
        </w:trPr>
        <w:tc>
          <w:tcPr>
            <w:tcW w:w="2880" w:type="dxa"/>
            <w:vAlign w:val="bottom"/>
          </w:tcPr>
          <w:p>
            <w:pPr>
              <w:spacing w:after="0"/>
              <w:rPr>
                <w:sz w:val="20"/>
                <w:szCs w:val="20"/>
                <w:color w:val="auto"/>
              </w:rPr>
            </w:pPr>
          </w:p>
        </w:tc>
        <w:tc>
          <w:tcPr>
            <w:tcW w:w="3560" w:type="dxa"/>
            <w:vAlign w:val="bottom"/>
            <w:vMerge w:val="continue"/>
          </w:tcPr>
          <w:p>
            <w:pPr>
              <w:spacing w:after="0"/>
              <w:rPr>
                <w:sz w:val="20"/>
                <w:szCs w:val="20"/>
                <w:color w:val="auto"/>
              </w:rPr>
            </w:pPr>
          </w:p>
        </w:tc>
        <w:tc>
          <w:tcPr>
            <w:tcW w:w="2260" w:type="dxa"/>
            <w:vAlign w:val="bottom"/>
            <w:vMerge w:val="continue"/>
          </w:tcPr>
          <w:p>
            <w:pPr>
              <w:spacing w:after="0"/>
              <w:rPr>
                <w:sz w:val="20"/>
                <w:szCs w:val="20"/>
                <w:color w:val="auto"/>
              </w:rPr>
            </w:pPr>
          </w:p>
        </w:tc>
        <w:tc>
          <w:tcPr>
            <w:tcW w:w="20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w w:val="97"/>
              </w:rPr>
              <w:t>Continuation Period</w:t>
            </w:r>
          </w:p>
        </w:tc>
        <w:tc>
          <w:tcPr>
            <w:tcW w:w="0" w:type="dxa"/>
            <w:vAlign w:val="bottom"/>
          </w:tcPr>
          <w:p>
            <w:pPr>
              <w:spacing w:after="0"/>
              <w:rPr>
                <w:sz w:val="1"/>
                <w:szCs w:val="1"/>
                <w:color w:val="auto"/>
              </w:rPr>
            </w:pPr>
          </w:p>
        </w:tc>
      </w:tr>
      <w:tr>
        <w:trPr>
          <w:trHeight w:val="238"/>
        </w:trPr>
        <w:tc>
          <w:tcPr>
            <w:tcW w:w="2880" w:type="dxa"/>
            <w:vAlign w:val="bottom"/>
          </w:tcPr>
          <w:p>
            <w:pPr>
              <w:spacing w:after="0"/>
              <w:rPr>
                <w:sz w:val="20"/>
                <w:szCs w:val="20"/>
                <w:color w:val="auto"/>
              </w:rPr>
            </w:pPr>
          </w:p>
        </w:tc>
        <w:tc>
          <w:tcPr>
            <w:tcW w:w="3560" w:type="dxa"/>
            <w:vAlign w:val="bottom"/>
          </w:tcPr>
          <w:p>
            <w:pPr>
              <w:ind w:left="1500"/>
              <w:spacing w:after="0"/>
              <w:rPr>
                <w:sz w:val="20"/>
                <w:szCs w:val="20"/>
                <w:color w:val="auto"/>
              </w:rPr>
            </w:pPr>
            <w:r>
              <w:rPr>
                <w:rFonts w:ascii="Times New Roman" w:cs="Times New Roman" w:eastAsia="Times New Roman" w:hAnsi="Times New Roman"/>
                <w:sz w:val="18"/>
                <w:szCs w:val="18"/>
                <w:b w:val="1"/>
                <w:bCs w:val="1"/>
                <w:color w:val="auto"/>
              </w:rPr>
              <w:t>(Section 4(a)(4))</w:t>
            </w:r>
          </w:p>
        </w:tc>
        <w:tc>
          <w:tcPr>
            <w:tcW w:w="22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(Section 1(n))</w:t>
            </w:r>
          </w:p>
        </w:tc>
        <w:tc>
          <w:tcPr>
            <w:tcW w:w="20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2)</w:t>
            </w:r>
          </w:p>
        </w:tc>
        <w:tc>
          <w:tcPr>
            <w:tcW w:w="0" w:type="dxa"/>
            <w:vAlign w:val="bottom"/>
          </w:tcPr>
          <w:p>
            <w:pPr>
              <w:spacing w:after="0"/>
              <w:rPr>
                <w:sz w:val="1"/>
                <w:szCs w:val="1"/>
                <w:color w:val="auto"/>
              </w:rPr>
            </w:pPr>
          </w:p>
        </w:tc>
      </w:tr>
      <w:tr>
        <w:trPr>
          <w:trHeight w:val="495"/>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Chris E. Hufnagel</w:t>
            </w:r>
          </w:p>
        </w:tc>
        <w:tc>
          <w:tcPr>
            <w:tcW w:w="35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2</w:t>
            </w:r>
          </w:p>
        </w:tc>
        <w:tc>
          <w:tcPr>
            <w:tcW w:w="2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 years</w:t>
            </w:r>
          </w:p>
        </w:tc>
        <w:tc>
          <w:tcPr>
            <w:tcW w:w="2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24 months</w:t>
            </w:r>
          </w:p>
        </w:tc>
        <w:tc>
          <w:tcPr>
            <w:tcW w:w="0" w:type="dxa"/>
            <w:vAlign w:val="bottom"/>
          </w:tcPr>
          <w:p>
            <w:pPr>
              <w:spacing w:after="0"/>
              <w:rPr>
                <w:sz w:val="1"/>
                <w:szCs w:val="1"/>
                <w:color w:val="auto"/>
              </w:rPr>
            </w:pPr>
          </w:p>
        </w:tc>
      </w:tr>
      <w:tr>
        <w:trPr>
          <w:trHeight w:val="23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Amy M. Klimek</w:t>
            </w:r>
          </w:p>
        </w:tc>
        <w:tc>
          <w:tcPr>
            <w:tcW w:w="35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2</w:t>
            </w:r>
          </w:p>
        </w:tc>
        <w:tc>
          <w:tcPr>
            <w:tcW w:w="2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 years</w:t>
            </w:r>
          </w:p>
        </w:tc>
        <w:tc>
          <w:tcPr>
            <w:tcW w:w="2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24 months</w:t>
            </w:r>
          </w:p>
        </w:tc>
        <w:tc>
          <w:tcPr>
            <w:tcW w:w="0" w:type="dxa"/>
            <w:vAlign w:val="bottom"/>
          </w:tcPr>
          <w:p>
            <w:pPr>
              <w:spacing w:after="0"/>
              <w:rPr>
                <w:sz w:val="1"/>
                <w:szCs w:val="1"/>
                <w:color w:val="auto"/>
              </w:rPr>
            </w:pPr>
          </w:p>
        </w:tc>
      </w:tr>
      <w:tr>
        <w:trPr>
          <w:trHeight w:val="229"/>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Susan J. Kuhn</w:t>
            </w:r>
          </w:p>
        </w:tc>
        <w:tc>
          <w:tcPr>
            <w:tcW w:w="35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2</w:t>
            </w:r>
          </w:p>
        </w:tc>
        <w:tc>
          <w:tcPr>
            <w:tcW w:w="2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 years</w:t>
            </w:r>
          </w:p>
        </w:tc>
        <w:tc>
          <w:tcPr>
            <w:tcW w:w="2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24 months</w:t>
            </w:r>
          </w:p>
        </w:tc>
        <w:tc>
          <w:tcPr>
            <w:tcW w:w="0" w:type="dxa"/>
            <w:vAlign w:val="bottom"/>
          </w:tcPr>
          <w:p>
            <w:pPr>
              <w:spacing w:after="0"/>
              <w:rPr>
                <w:sz w:val="1"/>
                <w:szCs w:val="1"/>
                <w:color w:val="auto"/>
              </w:rPr>
            </w:pPr>
          </w:p>
        </w:tc>
      </w:tr>
      <w:tr>
        <w:trPr>
          <w:trHeight w:val="23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David A. Latchana</w:t>
            </w:r>
          </w:p>
        </w:tc>
        <w:tc>
          <w:tcPr>
            <w:tcW w:w="35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2</w:t>
            </w:r>
          </w:p>
        </w:tc>
        <w:tc>
          <w:tcPr>
            <w:tcW w:w="2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 years</w:t>
            </w:r>
          </w:p>
        </w:tc>
        <w:tc>
          <w:tcPr>
            <w:tcW w:w="2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24 months</w:t>
            </w:r>
          </w:p>
        </w:tc>
        <w:tc>
          <w:tcPr>
            <w:tcW w:w="0" w:type="dxa"/>
            <w:vAlign w:val="bottom"/>
          </w:tcPr>
          <w:p>
            <w:pPr>
              <w:spacing w:after="0"/>
              <w:rPr>
                <w:sz w:val="1"/>
                <w:szCs w:val="1"/>
                <w:color w:val="auto"/>
              </w:rPr>
            </w:pPr>
          </w:p>
        </w:tc>
      </w:tr>
      <w:tr>
        <w:trPr>
          <w:trHeight w:val="229"/>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Taryn L. Miller</w:t>
            </w:r>
          </w:p>
        </w:tc>
        <w:tc>
          <w:tcPr>
            <w:tcW w:w="35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2</w:t>
            </w:r>
          </w:p>
        </w:tc>
        <w:tc>
          <w:tcPr>
            <w:tcW w:w="2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 years</w:t>
            </w:r>
          </w:p>
        </w:tc>
        <w:tc>
          <w:tcPr>
            <w:tcW w:w="2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24 months</w:t>
            </w:r>
          </w:p>
        </w:tc>
        <w:tc>
          <w:tcPr>
            <w:tcW w:w="0" w:type="dxa"/>
            <w:vAlign w:val="bottom"/>
          </w:tcPr>
          <w:p>
            <w:pPr>
              <w:spacing w:after="0"/>
              <w:rPr>
                <w:sz w:val="1"/>
                <w:szCs w:val="1"/>
                <w:color w:val="auto"/>
              </w:rPr>
            </w:pPr>
          </w:p>
        </w:tc>
      </w:tr>
      <w:tr>
        <w:trPr>
          <w:trHeight w:val="23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Isabel Soriano</w:t>
            </w:r>
          </w:p>
        </w:tc>
        <w:tc>
          <w:tcPr>
            <w:tcW w:w="35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2</w:t>
            </w:r>
          </w:p>
        </w:tc>
        <w:tc>
          <w:tcPr>
            <w:tcW w:w="2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 years</w:t>
            </w:r>
          </w:p>
        </w:tc>
        <w:tc>
          <w:tcPr>
            <w:tcW w:w="2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24 months</w:t>
            </w:r>
          </w:p>
        </w:tc>
        <w:tc>
          <w:tcPr>
            <w:tcW w:w="0" w:type="dxa"/>
            <w:vAlign w:val="bottom"/>
          </w:tcPr>
          <w:p>
            <w:pPr>
              <w:spacing w:after="0"/>
              <w:rPr>
                <w:sz w:val="1"/>
                <w:szCs w:val="1"/>
                <w:color w:val="auto"/>
              </w:rPr>
            </w:pPr>
          </w:p>
        </w:tc>
      </w:tr>
    </w:tbl>
    <w:p>
      <w:pPr>
        <w:sectPr>
          <w:pgSz w:w="11900" w:h="16838" w:orient="portrait"/>
          <w:cols w:equalWidth="0" w:num="1">
            <w:col w:w="11240"/>
          </w:cols>
          <w:pgMar w:left="320" w:top="360"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10.17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60" w:firstLine="648"/>
        <w:spacing w:after="0" w:line="313" w:lineRule="auto"/>
        <w:rPr>
          <w:sz w:val="20"/>
          <w:szCs w:val="20"/>
          <w:color w:val="auto"/>
        </w:rPr>
      </w:pPr>
      <w:r>
        <w:rPr>
          <w:rFonts w:ascii="Times New Roman" w:cs="Times New Roman" w:eastAsia="Times New Roman" w:hAnsi="Times New Roman"/>
          <w:sz w:val="18"/>
          <w:szCs w:val="18"/>
          <w:color w:val="auto"/>
        </w:rPr>
        <w:t>The following current and former executive officers have a percentage benefit multiplier under the Supplemental Executive Retirement Plan (the “Plan” of 2.0%, as indicated below, in lieu of the 1.6% of final average monthly remuneration benefit multiplier described in the Plan:</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2.0%</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D. Stornant</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James D. Zwiers</w:t>
      </w:r>
    </w:p>
    <w:p>
      <w:pPr>
        <w:sectPr>
          <w:pgSz w:w="11900" w:h="16838" w:orient="portrait"/>
          <w:cols w:equalWidth="0" w:num="1">
            <w:col w:w="11240"/>
          </w:cols>
          <w:pgMar w:left="320" w:top="360"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22"/>
          <w:szCs w:val="22"/>
          <w:b w:val="1"/>
          <w:bCs w:val="1"/>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alibri" w:cs="Calibri" w:eastAsia="Calibri" w:hAnsi="Calibri"/>
          <w:sz w:val="29"/>
          <w:szCs w:val="29"/>
          <w:color w:val="595959"/>
        </w:rPr>
        <w:t>Insider Trading Policy of</w:t>
      </w:r>
    </w:p>
    <w:p>
      <w:pPr>
        <w:spacing w:after="0" w:line="24" w:lineRule="exact"/>
        <w:rPr>
          <w:sz w:val="20"/>
          <w:szCs w:val="20"/>
          <w:color w:val="auto"/>
        </w:rPr>
      </w:pPr>
    </w:p>
    <w:p>
      <w:pPr>
        <w:spacing w:after="0"/>
        <w:rPr>
          <w:sz w:val="20"/>
          <w:szCs w:val="20"/>
          <w:color w:val="auto"/>
        </w:rPr>
      </w:pPr>
      <w:r>
        <w:rPr>
          <w:rFonts w:ascii="Calibri" w:cs="Calibri" w:eastAsia="Calibri" w:hAnsi="Calibri"/>
          <w:sz w:val="29"/>
          <w:szCs w:val="29"/>
          <w:color w:val="595959"/>
        </w:rPr>
        <w:t>Wolverine World Wide,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469900</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80"/>
        <w:spacing w:after="0"/>
        <w:rPr>
          <w:sz w:val="20"/>
          <w:szCs w:val="20"/>
          <w:color w:val="auto"/>
        </w:rPr>
      </w:pPr>
      <w:r>
        <w:rPr>
          <w:rFonts w:ascii="Calibri" w:cs="Calibri" w:eastAsia="Calibri" w:hAnsi="Calibri"/>
          <w:sz w:val="23"/>
          <w:szCs w:val="23"/>
          <w:b w:val="1"/>
          <w:bCs w:val="1"/>
          <w:color w:val="262626"/>
        </w:rPr>
        <w:t>Overview</w:t>
      </w:r>
    </w:p>
    <w:p>
      <w:pPr>
        <w:spacing w:after="0" w:line="238" w:lineRule="exact"/>
        <w:rPr>
          <w:sz w:val="20"/>
          <w:szCs w:val="20"/>
          <w:color w:val="auto"/>
        </w:rPr>
      </w:pPr>
    </w:p>
    <w:p>
      <w:pPr>
        <w:ind w:right="160"/>
        <w:spacing w:after="0" w:line="254" w:lineRule="auto"/>
        <w:rPr>
          <w:sz w:val="20"/>
          <w:szCs w:val="20"/>
          <w:color w:val="auto"/>
        </w:rPr>
      </w:pPr>
      <w:r>
        <w:rPr>
          <w:rFonts w:ascii="Calibri" w:cs="Calibri" w:eastAsia="Calibri" w:hAnsi="Calibri"/>
          <w:sz w:val="22"/>
          <w:szCs w:val="22"/>
          <w:color w:val="auto"/>
        </w:rPr>
        <w:t>It is illegal for any person, either personally or on behalf of others, to trade in securites on the basis of material, non-public informaton. It is also illegal to communicate (i.e., to “tp”) material, non-public informaton to others so that they may trade in securites on the basis of that informaton. These illegal actvites are commonly referred to as “insider trading.”</w:t>
      </w:r>
    </w:p>
    <w:p>
      <w:pPr>
        <w:spacing w:after="0" w:line="227" w:lineRule="exact"/>
        <w:rPr>
          <w:sz w:val="20"/>
          <w:szCs w:val="20"/>
          <w:color w:val="auto"/>
        </w:rPr>
      </w:pPr>
    </w:p>
    <w:p>
      <w:pPr>
        <w:ind w:right="100"/>
        <w:spacing w:after="0" w:line="269" w:lineRule="auto"/>
        <w:rPr>
          <w:sz w:val="20"/>
          <w:szCs w:val="20"/>
          <w:color w:val="auto"/>
        </w:rPr>
      </w:pPr>
      <w:r>
        <w:rPr>
          <w:rFonts w:ascii="Calibri" w:cs="Calibri" w:eastAsia="Calibri" w:hAnsi="Calibri"/>
          <w:sz w:val="21"/>
          <w:szCs w:val="21"/>
          <w:color w:val="auto"/>
        </w:rPr>
        <w:t>In the course of employment or service with Wolverine World Wide, Inc. (together with its subsidiaries, the “</w:t>
      </w:r>
      <w:r>
        <w:rPr>
          <w:rFonts w:ascii="Calibri" w:cs="Calibri" w:eastAsia="Calibri" w:hAnsi="Calibri"/>
          <w:sz w:val="21"/>
          <w:szCs w:val="21"/>
          <w:u w:val="single" w:color="auto"/>
          <w:color w:val="auto"/>
        </w:rPr>
        <w:t>Company</w:t>
      </w:r>
      <w:r>
        <w:rPr>
          <w:rFonts w:ascii="Calibri" w:cs="Calibri" w:eastAsia="Calibri" w:hAnsi="Calibri"/>
          <w:sz w:val="21"/>
          <w:szCs w:val="21"/>
          <w:color w:val="auto"/>
        </w:rPr>
        <w:t>”), directors, ofcers and other employees may become aware of material, non-public informaton (defned below) about the Company or other companies with which the Company does business. In order to promote compliance with federal securites laws and to protect the Company and you from the serious liabilites and penaltes that can result from violatons of these laws, the Company has adopted this Insider Trading Policy (this “</w:t>
      </w:r>
      <w:r>
        <w:rPr>
          <w:rFonts w:ascii="Calibri" w:cs="Calibri" w:eastAsia="Calibri" w:hAnsi="Calibri"/>
          <w:sz w:val="21"/>
          <w:szCs w:val="21"/>
          <w:u w:val="single" w:color="auto"/>
          <w:color w:val="auto"/>
        </w:rPr>
        <w:t>Policy</w:t>
      </w:r>
      <w:r>
        <w:rPr>
          <w:rFonts w:ascii="Calibri" w:cs="Calibri" w:eastAsia="Calibri" w:hAnsi="Calibri"/>
          <w:sz w:val="21"/>
          <w:szCs w:val="21"/>
          <w:color w:val="auto"/>
        </w:rPr>
        <w:t>”). This Policy is applicable to all directors, ofcers and other employees (“</w:t>
      </w:r>
      <w:r>
        <w:rPr>
          <w:rFonts w:ascii="Calibri" w:cs="Calibri" w:eastAsia="Calibri" w:hAnsi="Calibri"/>
          <w:sz w:val="21"/>
          <w:szCs w:val="21"/>
          <w:u w:val="single" w:color="auto"/>
          <w:color w:val="auto"/>
        </w:rPr>
        <w:t>Covered Persons</w:t>
      </w:r>
      <w:r>
        <w:rPr>
          <w:rFonts w:ascii="Calibri" w:cs="Calibri" w:eastAsia="Calibri" w:hAnsi="Calibri"/>
          <w:sz w:val="21"/>
          <w:szCs w:val="21"/>
          <w:color w:val="auto"/>
        </w:rPr>
        <w:t>”) and certain of their family members and prohibits trading or tpping others to trade, directly or indirectly, when aware of material, non-public informaton or during certain blackout periods as further described below.</w:t>
      </w:r>
    </w:p>
    <w:p>
      <w:pPr>
        <w:spacing w:after="0" w:line="216" w:lineRule="exact"/>
        <w:rPr>
          <w:sz w:val="20"/>
          <w:szCs w:val="20"/>
          <w:color w:val="auto"/>
        </w:rPr>
      </w:pPr>
    </w:p>
    <w:p>
      <w:pPr>
        <w:ind w:right="40"/>
        <w:spacing w:after="0" w:line="255" w:lineRule="auto"/>
        <w:rPr>
          <w:sz w:val="20"/>
          <w:szCs w:val="20"/>
          <w:color w:val="auto"/>
        </w:rPr>
      </w:pPr>
      <w:r>
        <w:rPr>
          <w:rFonts w:ascii="Calibri" w:cs="Calibri" w:eastAsia="Calibri" w:hAnsi="Calibri"/>
          <w:sz w:val="22"/>
          <w:szCs w:val="22"/>
          <w:color w:val="auto"/>
        </w:rPr>
        <w:t>Penaltes for insider trading violatons include civil fnes of up to three tmes the proft gained or the loss avoided by the actual trades, criminal fnes of up to $5 million, and imprisonment for up to 20 years. There may also be civil liability to those damaged by the trading. In additon, federal securites laws also impose potental liability on companies and other “controlling persons” if they fail to take reasonable steps to prevent insider trading. A company whose employee violates the insider trading prohibitons may be liable for substantal civil and criminal fnes. Any Covered Person who does not comply with this Policy may also be subject to sanctons by the Company, including dismissal, whether or not the failure to comply results in a violaton of law.</w:t>
      </w:r>
    </w:p>
    <w:p>
      <w:pPr>
        <w:spacing w:after="0" w:line="230" w:lineRule="exact"/>
        <w:rPr>
          <w:sz w:val="20"/>
          <w:szCs w:val="20"/>
          <w:color w:val="auto"/>
        </w:rPr>
      </w:pPr>
    </w:p>
    <w:p>
      <w:pPr>
        <w:jc w:val="both"/>
        <w:ind w:right="100"/>
        <w:spacing w:after="0" w:line="268" w:lineRule="auto"/>
        <w:rPr>
          <w:sz w:val="20"/>
          <w:szCs w:val="20"/>
          <w:color w:val="auto"/>
        </w:rPr>
      </w:pPr>
      <w:r>
        <w:rPr>
          <w:rFonts w:ascii="Calibri" w:cs="Calibri" w:eastAsia="Calibri" w:hAnsi="Calibri"/>
          <w:sz w:val="21"/>
          <w:szCs w:val="21"/>
          <w:color w:val="auto"/>
        </w:rPr>
        <w:t>The Securites and Exchange Commission (“</w:t>
      </w:r>
      <w:r>
        <w:rPr>
          <w:rFonts w:ascii="Calibri" w:cs="Calibri" w:eastAsia="Calibri" w:hAnsi="Calibri"/>
          <w:sz w:val="21"/>
          <w:szCs w:val="21"/>
          <w:u w:val="single" w:color="auto"/>
          <w:color w:val="auto"/>
        </w:rPr>
        <w:t>SEC</w:t>
      </w:r>
      <w:r>
        <w:rPr>
          <w:rFonts w:ascii="Calibri" w:cs="Calibri" w:eastAsia="Calibri" w:hAnsi="Calibri"/>
          <w:sz w:val="21"/>
          <w:szCs w:val="21"/>
          <w:color w:val="auto"/>
        </w:rPr>
        <w:t>”), the Department of Justce, The New York Stock Exchange and state regulators are highly vigilant and very efectve at detectng and pursuing insider trading cases. The SEC has successfully prosecuted cases against employees trading through foreign accounts, trading by family members and friends, and trading involving only a small number of shares. Therefore, it is important that you understand the breadth of actvites that consttute illegal insider trading. This Policy sets out the Company’s policy in the area of insider trading and should be read carefully and complied with fully.</w:t>
      </w:r>
    </w:p>
    <w:p>
      <w:pPr>
        <w:sectPr>
          <w:pgSz w:w="11900" w:h="16838" w:orient="portrait"/>
          <w:cols w:equalWidth="0" w:num="1">
            <w:col w:w="11240"/>
          </w:cols>
          <w:pgMar w:left="320" w:top="122" w:right="339" w:bottom="1440" w:gutter="0" w:footer="0" w:header="0"/>
        </w:sectPr>
      </w:pPr>
    </w:p>
    <w:bookmarkStart w:id="89" w:name="page90"/>
    <w:bookmarkEnd w:id="89"/>
    <w:p>
      <w:pPr>
        <w:spacing w:after="0"/>
        <w:rPr>
          <w:sz w:val="20"/>
          <w:szCs w:val="20"/>
          <w:color w:val="auto"/>
        </w:rPr>
      </w:pPr>
      <w:r>
        <w:rPr>
          <w:rFonts w:ascii="Calibri" w:cs="Calibri" w:eastAsia="Calibri" w:hAnsi="Calibri"/>
          <w:sz w:val="22"/>
          <w:szCs w:val="22"/>
          <w:color w:val="auto"/>
        </w:rPr>
        <w:t>If you have any questons regarding this Policy, please contact the Company’s Chief Legal Ofcer.</w:t>
      </w:r>
    </w:p>
    <w:p>
      <w:pPr>
        <w:spacing w:after="0" w:line="250" w:lineRule="exact"/>
        <w:rPr>
          <w:sz w:val="20"/>
          <w:szCs w:val="20"/>
          <w:color w:val="auto"/>
        </w:rPr>
      </w:pPr>
    </w:p>
    <w:p>
      <w:pPr>
        <w:spacing w:after="0"/>
        <w:rPr>
          <w:sz w:val="20"/>
          <w:szCs w:val="20"/>
          <w:color w:val="auto"/>
        </w:rPr>
      </w:pPr>
      <w:r>
        <w:rPr>
          <w:rFonts w:ascii="Calibri" w:cs="Calibri" w:eastAsia="Calibri" w:hAnsi="Calibri"/>
          <w:sz w:val="23"/>
          <w:szCs w:val="23"/>
          <w:b w:val="1"/>
          <w:bCs w:val="1"/>
          <w:color w:val="262626"/>
        </w:rPr>
        <w:t>Material, Non-public Informaton</w:t>
      </w:r>
    </w:p>
    <w:p>
      <w:pPr>
        <w:spacing w:after="0" w:line="227"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595959"/>
        </w:rPr>
        <w:t>Material informaton</w:t>
      </w:r>
    </w:p>
    <w:p>
      <w:pPr>
        <w:spacing w:after="0" w:line="39" w:lineRule="exact"/>
        <w:rPr>
          <w:sz w:val="20"/>
          <w:szCs w:val="20"/>
          <w:color w:val="auto"/>
        </w:rPr>
      </w:pPr>
    </w:p>
    <w:p>
      <w:pPr>
        <w:jc w:val="both"/>
        <w:ind w:right="140"/>
        <w:spacing w:after="0" w:line="247" w:lineRule="auto"/>
        <w:rPr>
          <w:sz w:val="20"/>
          <w:szCs w:val="20"/>
          <w:color w:val="auto"/>
        </w:rPr>
      </w:pPr>
      <w:r>
        <w:rPr>
          <w:rFonts w:ascii="Calibri" w:cs="Calibri" w:eastAsia="Calibri" w:hAnsi="Calibri"/>
          <w:sz w:val="22"/>
          <w:szCs w:val="22"/>
          <w:color w:val="auto"/>
        </w:rPr>
        <w:t>Material informaton is any informaton that a reasonable investor would consider important in making a decision to buy, hold or sell securites. Any informaton that could be expected to afect the Company’s stock price, positvely or negatvely, could be considered material.</w:t>
      </w:r>
    </w:p>
    <w:p>
      <w:pPr>
        <w:spacing w:after="0" w:line="227" w:lineRule="exact"/>
        <w:rPr>
          <w:sz w:val="20"/>
          <w:szCs w:val="20"/>
          <w:color w:val="auto"/>
        </w:rPr>
      </w:pPr>
    </w:p>
    <w:p>
      <w:pPr>
        <w:spacing w:after="0"/>
        <w:rPr>
          <w:sz w:val="20"/>
          <w:szCs w:val="20"/>
          <w:color w:val="auto"/>
        </w:rPr>
      </w:pPr>
      <w:r>
        <w:rPr>
          <w:rFonts w:ascii="Calibri" w:cs="Calibri" w:eastAsia="Calibri" w:hAnsi="Calibri"/>
          <w:sz w:val="22"/>
          <w:szCs w:val="22"/>
          <w:color w:val="auto"/>
        </w:rPr>
        <w:t>Some examples of potentally material informaton are:</w:t>
      </w:r>
    </w:p>
    <w:p>
      <w:pPr>
        <w:spacing w:after="0" w:line="244" w:lineRule="exact"/>
        <w:rPr>
          <w:sz w:val="20"/>
          <w:szCs w:val="20"/>
          <w:color w:val="auto"/>
        </w:rPr>
      </w:pPr>
    </w:p>
    <w:p>
      <w:pPr>
        <w:ind w:left="320" w:hanging="312"/>
        <w:spacing w:after="0"/>
        <w:tabs>
          <w:tab w:leader="none" w:pos="320" w:val="left"/>
        </w:tabs>
        <w:numPr>
          <w:ilvl w:val="0"/>
          <w:numId w:val="49"/>
        </w:numPr>
        <w:rPr>
          <w:rFonts w:ascii="Calibri" w:cs="Calibri" w:eastAsia="Calibri" w:hAnsi="Calibri"/>
          <w:sz w:val="22"/>
          <w:szCs w:val="22"/>
          <w:color w:val="auto"/>
        </w:rPr>
      </w:pPr>
      <w:r>
        <w:rPr>
          <w:rFonts w:ascii="Calibri" w:cs="Calibri" w:eastAsia="Calibri" w:hAnsi="Calibri"/>
          <w:sz w:val="22"/>
          <w:szCs w:val="22"/>
          <w:color w:val="auto"/>
        </w:rPr>
        <w:t>A pending, proposed or contemplated merger, acquisiton or tender ofer;</w:t>
      </w:r>
    </w:p>
    <w:p>
      <w:pPr>
        <w:spacing w:after="0" w:line="12" w:lineRule="exact"/>
        <w:rPr>
          <w:rFonts w:ascii="Calibri" w:cs="Calibri" w:eastAsia="Calibri" w:hAnsi="Calibri"/>
          <w:sz w:val="22"/>
          <w:szCs w:val="22"/>
          <w:color w:val="auto"/>
        </w:rPr>
      </w:pPr>
    </w:p>
    <w:p>
      <w:pPr>
        <w:ind w:left="320" w:hanging="312"/>
        <w:spacing w:after="0"/>
        <w:tabs>
          <w:tab w:leader="none" w:pos="320" w:val="left"/>
        </w:tabs>
        <w:numPr>
          <w:ilvl w:val="0"/>
          <w:numId w:val="49"/>
        </w:numPr>
        <w:rPr>
          <w:rFonts w:ascii="Calibri" w:cs="Calibri" w:eastAsia="Calibri" w:hAnsi="Calibri"/>
          <w:sz w:val="22"/>
          <w:szCs w:val="22"/>
          <w:color w:val="auto"/>
        </w:rPr>
      </w:pPr>
      <w:r>
        <w:rPr>
          <w:rFonts w:ascii="Calibri" w:cs="Calibri" w:eastAsia="Calibri" w:hAnsi="Calibri"/>
          <w:sz w:val="22"/>
          <w:szCs w:val="22"/>
          <w:color w:val="auto"/>
        </w:rPr>
        <w:t>A pending, proposed or contemplated acquisiton or dispositon of a signifcant asset;</w:t>
      </w:r>
    </w:p>
    <w:p>
      <w:pPr>
        <w:spacing w:after="0" w:line="16" w:lineRule="exact"/>
        <w:rPr>
          <w:rFonts w:ascii="Calibri" w:cs="Calibri" w:eastAsia="Calibri" w:hAnsi="Calibri"/>
          <w:sz w:val="22"/>
          <w:szCs w:val="22"/>
          <w:color w:val="auto"/>
        </w:rPr>
      </w:pPr>
    </w:p>
    <w:p>
      <w:pPr>
        <w:ind w:left="320" w:hanging="312"/>
        <w:spacing w:after="0"/>
        <w:tabs>
          <w:tab w:leader="none" w:pos="320" w:val="left"/>
        </w:tabs>
        <w:numPr>
          <w:ilvl w:val="0"/>
          <w:numId w:val="49"/>
        </w:numPr>
        <w:rPr>
          <w:rFonts w:ascii="Calibri" w:cs="Calibri" w:eastAsia="Calibri" w:hAnsi="Calibri"/>
          <w:sz w:val="22"/>
          <w:szCs w:val="22"/>
          <w:color w:val="auto"/>
        </w:rPr>
      </w:pPr>
      <w:r>
        <w:rPr>
          <w:rFonts w:ascii="Calibri" w:cs="Calibri" w:eastAsia="Calibri" w:hAnsi="Calibri"/>
          <w:sz w:val="22"/>
          <w:szCs w:val="22"/>
          <w:color w:val="auto"/>
        </w:rPr>
        <w:t>The development or launch of a signifcant new product line;</w:t>
      </w:r>
    </w:p>
    <w:p>
      <w:pPr>
        <w:spacing w:after="0" w:line="14" w:lineRule="exact"/>
        <w:rPr>
          <w:rFonts w:ascii="Calibri" w:cs="Calibri" w:eastAsia="Calibri" w:hAnsi="Calibri"/>
          <w:sz w:val="22"/>
          <w:szCs w:val="22"/>
          <w:color w:val="auto"/>
        </w:rPr>
      </w:pPr>
    </w:p>
    <w:p>
      <w:pPr>
        <w:ind w:left="320" w:hanging="312"/>
        <w:spacing w:after="0"/>
        <w:tabs>
          <w:tab w:leader="none" w:pos="320" w:val="left"/>
        </w:tabs>
        <w:numPr>
          <w:ilvl w:val="0"/>
          <w:numId w:val="49"/>
        </w:numPr>
        <w:rPr>
          <w:rFonts w:ascii="Calibri" w:cs="Calibri" w:eastAsia="Calibri" w:hAnsi="Calibri"/>
          <w:sz w:val="22"/>
          <w:szCs w:val="22"/>
          <w:color w:val="auto"/>
        </w:rPr>
      </w:pPr>
      <w:r>
        <w:rPr>
          <w:rFonts w:ascii="Calibri" w:cs="Calibri" w:eastAsia="Calibri" w:hAnsi="Calibri"/>
          <w:sz w:val="22"/>
          <w:szCs w:val="22"/>
          <w:color w:val="auto"/>
        </w:rPr>
        <w:t>The gain or loss of a signifcant customer or supplier;</w:t>
      </w:r>
    </w:p>
    <w:p>
      <w:pPr>
        <w:spacing w:after="0" w:line="28" w:lineRule="exact"/>
        <w:rPr>
          <w:rFonts w:ascii="Calibri" w:cs="Calibri" w:eastAsia="Calibri" w:hAnsi="Calibri"/>
          <w:sz w:val="22"/>
          <w:szCs w:val="22"/>
          <w:color w:val="auto"/>
        </w:rPr>
      </w:pPr>
    </w:p>
    <w:p>
      <w:pPr>
        <w:ind w:left="320" w:hanging="312"/>
        <w:spacing w:after="0"/>
        <w:tabs>
          <w:tab w:leader="none" w:pos="320" w:val="left"/>
        </w:tabs>
        <w:numPr>
          <w:ilvl w:val="0"/>
          <w:numId w:val="49"/>
        </w:numPr>
        <w:rPr>
          <w:rFonts w:ascii="Calibri" w:cs="Calibri" w:eastAsia="Calibri" w:hAnsi="Calibri"/>
          <w:sz w:val="22"/>
          <w:szCs w:val="22"/>
          <w:color w:val="auto"/>
        </w:rPr>
      </w:pPr>
      <w:r>
        <w:rPr>
          <w:rFonts w:ascii="Calibri" w:cs="Calibri" w:eastAsia="Calibri" w:hAnsi="Calibri"/>
          <w:sz w:val="22"/>
          <w:szCs w:val="22"/>
          <w:color w:val="auto"/>
        </w:rPr>
        <w:t>Informaton about major contracts;</w:t>
      </w:r>
    </w:p>
    <w:p>
      <w:pPr>
        <w:spacing w:after="0" w:line="12" w:lineRule="exact"/>
        <w:rPr>
          <w:rFonts w:ascii="Calibri" w:cs="Calibri" w:eastAsia="Calibri" w:hAnsi="Calibri"/>
          <w:sz w:val="22"/>
          <w:szCs w:val="22"/>
          <w:color w:val="auto"/>
        </w:rPr>
      </w:pPr>
    </w:p>
    <w:p>
      <w:pPr>
        <w:ind w:left="320" w:hanging="312"/>
        <w:spacing w:after="0"/>
        <w:tabs>
          <w:tab w:leader="none" w:pos="320" w:val="left"/>
        </w:tabs>
        <w:numPr>
          <w:ilvl w:val="0"/>
          <w:numId w:val="49"/>
        </w:numPr>
        <w:rPr>
          <w:rFonts w:ascii="Calibri" w:cs="Calibri" w:eastAsia="Calibri" w:hAnsi="Calibri"/>
          <w:sz w:val="22"/>
          <w:szCs w:val="22"/>
          <w:color w:val="auto"/>
        </w:rPr>
      </w:pPr>
      <w:r>
        <w:rPr>
          <w:rFonts w:ascii="Calibri" w:cs="Calibri" w:eastAsia="Calibri" w:hAnsi="Calibri"/>
          <w:sz w:val="22"/>
          <w:szCs w:val="22"/>
          <w:color w:val="auto"/>
        </w:rPr>
        <w:t>Major personnel changes which may include signifcant layofs or reorganizatons;</w:t>
      </w:r>
    </w:p>
    <w:p>
      <w:pPr>
        <w:spacing w:after="0" w:line="14" w:lineRule="exact"/>
        <w:rPr>
          <w:rFonts w:ascii="Calibri" w:cs="Calibri" w:eastAsia="Calibri" w:hAnsi="Calibri"/>
          <w:sz w:val="22"/>
          <w:szCs w:val="22"/>
          <w:color w:val="auto"/>
        </w:rPr>
      </w:pPr>
    </w:p>
    <w:p>
      <w:pPr>
        <w:ind w:left="320" w:hanging="312"/>
        <w:spacing w:after="0"/>
        <w:tabs>
          <w:tab w:leader="none" w:pos="320" w:val="left"/>
        </w:tabs>
        <w:numPr>
          <w:ilvl w:val="0"/>
          <w:numId w:val="49"/>
        </w:numPr>
        <w:rPr>
          <w:rFonts w:ascii="Calibri" w:cs="Calibri" w:eastAsia="Calibri" w:hAnsi="Calibri"/>
          <w:sz w:val="22"/>
          <w:szCs w:val="22"/>
          <w:color w:val="auto"/>
        </w:rPr>
      </w:pPr>
      <w:r>
        <w:rPr>
          <w:rFonts w:ascii="Calibri" w:cs="Calibri" w:eastAsia="Calibri" w:hAnsi="Calibri"/>
          <w:sz w:val="22"/>
          <w:szCs w:val="22"/>
          <w:color w:val="auto"/>
        </w:rPr>
        <w:t>Signifcant legal, regulatory or legislatve developments afectng the Company;</w:t>
      </w:r>
    </w:p>
    <w:p>
      <w:pPr>
        <w:spacing w:after="0" w:line="30" w:lineRule="exact"/>
        <w:rPr>
          <w:rFonts w:ascii="Calibri" w:cs="Calibri" w:eastAsia="Calibri" w:hAnsi="Calibri"/>
          <w:sz w:val="22"/>
          <w:szCs w:val="22"/>
          <w:color w:val="auto"/>
        </w:rPr>
      </w:pPr>
    </w:p>
    <w:p>
      <w:pPr>
        <w:ind w:left="320" w:hanging="312"/>
        <w:spacing w:after="0"/>
        <w:tabs>
          <w:tab w:leader="none" w:pos="320" w:val="left"/>
        </w:tabs>
        <w:numPr>
          <w:ilvl w:val="0"/>
          <w:numId w:val="49"/>
        </w:numPr>
        <w:rPr>
          <w:rFonts w:ascii="Calibri" w:cs="Calibri" w:eastAsia="Calibri" w:hAnsi="Calibri"/>
          <w:sz w:val="22"/>
          <w:szCs w:val="22"/>
          <w:color w:val="auto"/>
        </w:rPr>
      </w:pPr>
      <w:r>
        <w:rPr>
          <w:rFonts w:ascii="Calibri" w:cs="Calibri" w:eastAsia="Calibri" w:hAnsi="Calibri"/>
          <w:sz w:val="22"/>
          <w:szCs w:val="22"/>
          <w:color w:val="auto"/>
        </w:rPr>
        <w:t>A change in senior management, directors or auditors;</w:t>
      </w:r>
    </w:p>
    <w:p>
      <w:pPr>
        <w:spacing w:after="0" w:line="14" w:lineRule="exact"/>
        <w:rPr>
          <w:rFonts w:ascii="Calibri" w:cs="Calibri" w:eastAsia="Calibri" w:hAnsi="Calibri"/>
          <w:sz w:val="22"/>
          <w:szCs w:val="22"/>
          <w:color w:val="auto"/>
        </w:rPr>
      </w:pPr>
    </w:p>
    <w:p>
      <w:pPr>
        <w:ind w:left="320" w:hanging="312"/>
        <w:spacing w:after="0"/>
        <w:tabs>
          <w:tab w:leader="none" w:pos="320" w:val="left"/>
        </w:tabs>
        <w:numPr>
          <w:ilvl w:val="0"/>
          <w:numId w:val="49"/>
        </w:numPr>
        <w:rPr>
          <w:rFonts w:ascii="Calibri" w:cs="Calibri" w:eastAsia="Calibri" w:hAnsi="Calibri"/>
          <w:sz w:val="22"/>
          <w:szCs w:val="22"/>
          <w:color w:val="auto"/>
        </w:rPr>
      </w:pPr>
      <w:r>
        <w:rPr>
          <w:rFonts w:ascii="Calibri" w:cs="Calibri" w:eastAsia="Calibri" w:hAnsi="Calibri"/>
          <w:sz w:val="22"/>
          <w:szCs w:val="22"/>
          <w:color w:val="auto"/>
        </w:rPr>
        <w:t>Signifcant interrupton of producton or other aspects of the Company’s business;</w:t>
      </w:r>
    </w:p>
    <w:p>
      <w:pPr>
        <w:spacing w:after="0" w:line="12" w:lineRule="exact"/>
        <w:rPr>
          <w:rFonts w:ascii="Calibri" w:cs="Calibri" w:eastAsia="Calibri" w:hAnsi="Calibri"/>
          <w:sz w:val="22"/>
          <w:szCs w:val="22"/>
          <w:color w:val="auto"/>
        </w:rPr>
      </w:pPr>
    </w:p>
    <w:p>
      <w:pPr>
        <w:ind w:left="320" w:hanging="312"/>
        <w:spacing w:after="0"/>
        <w:tabs>
          <w:tab w:leader="none" w:pos="320" w:val="left"/>
        </w:tabs>
        <w:numPr>
          <w:ilvl w:val="0"/>
          <w:numId w:val="49"/>
        </w:numPr>
        <w:rPr>
          <w:rFonts w:ascii="Calibri" w:cs="Calibri" w:eastAsia="Calibri" w:hAnsi="Calibri"/>
          <w:sz w:val="22"/>
          <w:szCs w:val="22"/>
          <w:color w:val="auto"/>
        </w:rPr>
      </w:pPr>
      <w:r>
        <w:rPr>
          <w:rFonts w:ascii="Calibri" w:cs="Calibri" w:eastAsia="Calibri" w:hAnsi="Calibri"/>
          <w:sz w:val="22"/>
          <w:szCs w:val="22"/>
          <w:color w:val="auto"/>
        </w:rPr>
        <w:t>A change in dividend policy or the declaraton of a stock split;</w:t>
      </w:r>
    </w:p>
    <w:p>
      <w:pPr>
        <w:spacing w:after="0" w:line="16" w:lineRule="exact"/>
        <w:rPr>
          <w:rFonts w:ascii="Calibri" w:cs="Calibri" w:eastAsia="Calibri" w:hAnsi="Calibri"/>
          <w:sz w:val="22"/>
          <w:szCs w:val="22"/>
          <w:color w:val="auto"/>
        </w:rPr>
      </w:pPr>
    </w:p>
    <w:p>
      <w:pPr>
        <w:ind w:left="320" w:hanging="312"/>
        <w:spacing w:after="0"/>
        <w:tabs>
          <w:tab w:leader="none" w:pos="320" w:val="left"/>
        </w:tabs>
        <w:numPr>
          <w:ilvl w:val="0"/>
          <w:numId w:val="49"/>
        </w:numPr>
        <w:rPr>
          <w:rFonts w:ascii="Calibri" w:cs="Calibri" w:eastAsia="Calibri" w:hAnsi="Calibri"/>
          <w:sz w:val="22"/>
          <w:szCs w:val="22"/>
          <w:color w:val="auto"/>
        </w:rPr>
      </w:pPr>
      <w:r>
        <w:rPr>
          <w:rFonts w:ascii="Calibri" w:cs="Calibri" w:eastAsia="Calibri" w:hAnsi="Calibri"/>
          <w:sz w:val="22"/>
          <w:szCs w:val="22"/>
          <w:color w:val="auto"/>
        </w:rPr>
        <w:t>A repurchase of securites or proposed ofering of additonal securites;</w:t>
      </w:r>
    </w:p>
    <w:p>
      <w:pPr>
        <w:spacing w:after="0" w:line="26" w:lineRule="exact"/>
        <w:rPr>
          <w:rFonts w:ascii="Calibri" w:cs="Calibri" w:eastAsia="Calibri" w:hAnsi="Calibri"/>
          <w:sz w:val="22"/>
          <w:szCs w:val="22"/>
          <w:color w:val="auto"/>
        </w:rPr>
      </w:pPr>
    </w:p>
    <w:p>
      <w:pPr>
        <w:ind w:left="320" w:hanging="312"/>
        <w:spacing w:after="0"/>
        <w:tabs>
          <w:tab w:leader="none" w:pos="320" w:val="left"/>
        </w:tabs>
        <w:numPr>
          <w:ilvl w:val="0"/>
          <w:numId w:val="49"/>
        </w:numPr>
        <w:rPr>
          <w:rFonts w:ascii="Calibri" w:cs="Calibri" w:eastAsia="Calibri" w:hAnsi="Calibri"/>
          <w:sz w:val="22"/>
          <w:szCs w:val="22"/>
          <w:color w:val="auto"/>
        </w:rPr>
      </w:pPr>
      <w:r>
        <w:rPr>
          <w:rFonts w:ascii="Calibri" w:cs="Calibri" w:eastAsia="Calibri" w:hAnsi="Calibri"/>
          <w:sz w:val="22"/>
          <w:szCs w:val="22"/>
          <w:color w:val="auto"/>
        </w:rPr>
        <w:t>The existence of liquidity problems or impending bankruptcy;</w:t>
      </w:r>
    </w:p>
    <w:p>
      <w:pPr>
        <w:spacing w:after="0" w:line="16" w:lineRule="exact"/>
        <w:rPr>
          <w:rFonts w:ascii="Calibri" w:cs="Calibri" w:eastAsia="Calibri" w:hAnsi="Calibri"/>
          <w:sz w:val="22"/>
          <w:szCs w:val="22"/>
          <w:color w:val="auto"/>
        </w:rPr>
      </w:pPr>
    </w:p>
    <w:p>
      <w:pPr>
        <w:ind w:left="320" w:hanging="312"/>
        <w:spacing w:after="0"/>
        <w:tabs>
          <w:tab w:leader="none" w:pos="320" w:val="left"/>
        </w:tabs>
        <w:numPr>
          <w:ilvl w:val="0"/>
          <w:numId w:val="49"/>
        </w:numPr>
        <w:rPr>
          <w:rFonts w:ascii="Calibri" w:cs="Calibri" w:eastAsia="Calibri" w:hAnsi="Calibri"/>
          <w:sz w:val="22"/>
          <w:szCs w:val="22"/>
          <w:color w:val="auto"/>
        </w:rPr>
      </w:pPr>
      <w:r>
        <w:rPr>
          <w:rFonts w:ascii="Calibri" w:cs="Calibri" w:eastAsia="Calibri" w:hAnsi="Calibri"/>
          <w:sz w:val="22"/>
          <w:szCs w:val="22"/>
          <w:color w:val="auto"/>
        </w:rPr>
        <w:t>Defaults under agreements or actons by creditors, clients or suppliers relatng to the Company’s credit ratng;</w:t>
      </w:r>
    </w:p>
    <w:p>
      <w:pPr>
        <w:spacing w:after="0" w:line="12" w:lineRule="exact"/>
        <w:rPr>
          <w:rFonts w:ascii="Calibri" w:cs="Calibri" w:eastAsia="Calibri" w:hAnsi="Calibri"/>
          <w:sz w:val="22"/>
          <w:szCs w:val="22"/>
          <w:color w:val="auto"/>
        </w:rPr>
      </w:pPr>
    </w:p>
    <w:p>
      <w:pPr>
        <w:ind w:left="320" w:hanging="312"/>
        <w:spacing w:after="0"/>
        <w:tabs>
          <w:tab w:leader="none" w:pos="320" w:val="left"/>
        </w:tabs>
        <w:numPr>
          <w:ilvl w:val="0"/>
          <w:numId w:val="49"/>
        </w:numPr>
        <w:rPr>
          <w:rFonts w:ascii="Calibri" w:cs="Calibri" w:eastAsia="Calibri" w:hAnsi="Calibri"/>
          <w:sz w:val="22"/>
          <w:szCs w:val="22"/>
          <w:color w:val="auto"/>
        </w:rPr>
      </w:pPr>
      <w:r>
        <w:rPr>
          <w:rFonts w:ascii="Calibri" w:cs="Calibri" w:eastAsia="Calibri" w:hAnsi="Calibri"/>
          <w:sz w:val="22"/>
          <w:szCs w:val="22"/>
          <w:color w:val="auto"/>
        </w:rPr>
        <w:t>A new cybersecurity risk or cybersecurity incident, whether known to be critcal or potentally signifcant;</w:t>
      </w:r>
    </w:p>
    <w:p>
      <w:pPr>
        <w:spacing w:after="0" w:line="16" w:lineRule="exact"/>
        <w:rPr>
          <w:rFonts w:ascii="Calibri" w:cs="Calibri" w:eastAsia="Calibri" w:hAnsi="Calibri"/>
          <w:sz w:val="22"/>
          <w:szCs w:val="22"/>
          <w:color w:val="auto"/>
        </w:rPr>
      </w:pPr>
    </w:p>
    <w:p>
      <w:pPr>
        <w:ind w:left="320" w:hanging="312"/>
        <w:spacing w:after="0"/>
        <w:tabs>
          <w:tab w:leader="none" w:pos="320" w:val="left"/>
        </w:tabs>
        <w:numPr>
          <w:ilvl w:val="0"/>
          <w:numId w:val="49"/>
        </w:numPr>
        <w:rPr>
          <w:rFonts w:ascii="Calibri" w:cs="Calibri" w:eastAsia="Calibri" w:hAnsi="Calibri"/>
          <w:sz w:val="22"/>
          <w:szCs w:val="22"/>
          <w:color w:val="auto"/>
        </w:rPr>
      </w:pPr>
      <w:r>
        <w:rPr>
          <w:rFonts w:ascii="Calibri" w:cs="Calibri" w:eastAsia="Calibri" w:hAnsi="Calibri"/>
          <w:sz w:val="22"/>
          <w:szCs w:val="22"/>
          <w:color w:val="auto"/>
        </w:rPr>
        <w:t>Financial informaton (e.g., earnings, projectons of future earnings or losses, or other earnings guidance);</w:t>
      </w:r>
    </w:p>
    <w:p>
      <w:pPr>
        <w:spacing w:after="0" w:line="26" w:lineRule="exact"/>
        <w:rPr>
          <w:rFonts w:ascii="Calibri" w:cs="Calibri" w:eastAsia="Calibri" w:hAnsi="Calibri"/>
          <w:sz w:val="22"/>
          <w:szCs w:val="22"/>
          <w:color w:val="auto"/>
        </w:rPr>
      </w:pPr>
    </w:p>
    <w:p>
      <w:pPr>
        <w:ind w:left="320" w:hanging="312"/>
        <w:spacing w:after="0"/>
        <w:tabs>
          <w:tab w:leader="none" w:pos="320" w:val="left"/>
        </w:tabs>
        <w:numPr>
          <w:ilvl w:val="0"/>
          <w:numId w:val="49"/>
        </w:numPr>
        <w:rPr>
          <w:rFonts w:ascii="Calibri" w:cs="Calibri" w:eastAsia="Calibri" w:hAnsi="Calibri"/>
          <w:sz w:val="22"/>
          <w:szCs w:val="22"/>
          <w:color w:val="auto"/>
        </w:rPr>
      </w:pPr>
      <w:r>
        <w:rPr>
          <w:rFonts w:ascii="Calibri" w:cs="Calibri" w:eastAsia="Calibri" w:hAnsi="Calibri"/>
          <w:sz w:val="22"/>
          <w:szCs w:val="22"/>
          <w:color w:val="auto"/>
        </w:rPr>
        <w:t>Unpublished fnancial reports or projectons; and</w:t>
      </w:r>
    </w:p>
    <w:p>
      <w:pPr>
        <w:spacing w:after="0" w:line="27" w:lineRule="exact"/>
        <w:rPr>
          <w:rFonts w:ascii="Calibri" w:cs="Calibri" w:eastAsia="Calibri" w:hAnsi="Calibri"/>
          <w:sz w:val="22"/>
          <w:szCs w:val="22"/>
          <w:color w:val="auto"/>
        </w:rPr>
      </w:pPr>
    </w:p>
    <w:p>
      <w:pPr>
        <w:ind w:left="340" w:right="40" w:hanging="332"/>
        <w:spacing w:after="0" w:line="243" w:lineRule="auto"/>
        <w:tabs>
          <w:tab w:leader="none" w:pos="329" w:val="left"/>
        </w:tabs>
        <w:numPr>
          <w:ilvl w:val="0"/>
          <w:numId w:val="49"/>
        </w:numPr>
        <w:rPr>
          <w:rFonts w:ascii="Calibri" w:cs="Calibri" w:eastAsia="Calibri" w:hAnsi="Calibri"/>
          <w:sz w:val="22"/>
          <w:szCs w:val="22"/>
          <w:color w:val="auto"/>
        </w:rPr>
      </w:pPr>
      <w:r>
        <w:rPr>
          <w:rFonts w:ascii="Calibri" w:cs="Calibri" w:eastAsia="Calibri" w:hAnsi="Calibri"/>
          <w:sz w:val="22"/>
          <w:szCs w:val="22"/>
          <w:color w:val="auto"/>
        </w:rPr>
        <w:t>Sales or earnings that are inconsistent with the Company’s public guidance or the consensus expectatons of the investment community.</w:t>
      </w:r>
    </w:p>
    <w:p>
      <w:pPr>
        <w:spacing w:after="0" w:line="266" w:lineRule="exact"/>
        <w:rPr>
          <w:sz w:val="20"/>
          <w:szCs w:val="20"/>
          <w:color w:val="auto"/>
        </w:rPr>
      </w:pPr>
    </w:p>
    <w:p>
      <w:pPr>
        <w:spacing w:after="0" w:line="254" w:lineRule="auto"/>
        <w:rPr>
          <w:sz w:val="20"/>
          <w:szCs w:val="20"/>
          <w:color w:val="auto"/>
        </w:rPr>
      </w:pPr>
      <w:r>
        <w:rPr>
          <w:rFonts w:ascii="Calibri" w:cs="Calibri" w:eastAsia="Calibri" w:hAnsi="Calibri"/>
          <w:sz w:val="22"/>
          <w:szCs w:val="22"/>
          <w:color w:val="auto"/>
        </w:rPr>
        <w:t>Both positve and negatve informaton can be material. Because materiality will be evaluated afer the fact and with the beneft of hindsight, questons about whether partcular informaton is material should be resolved in favor of materiality.</w:t>
      </w:r>
    </w:p>
    <w:p>
      <w:pPr>
        <w:spacing w:after="0" w:line="24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595959"/>
        </w:rPr>
        <w:t>Non-public informaton</w:t>
      </w:r>
    </w:p>
    <w:p>
      <w:pPr>
        <w:spacing w:after="0" w:line="25" w:lineRule="exact"/>
        <w:rPr>
          <w:sz w:val="20"/>
          <w:szCs w:val="20"/>
          <w:color w:val="auto"/>
        </w:rPr>
      </w:pPr>
    </w:p>
    <w:p>
      <w:pPr>
        <w:ind w:right="20"/>
        <w:spacing w:after="0" w:line="242" w:lineRule="auto"/>
        <w:rPr>
          <w:sz w:val="20"/>
          <w:szCs w:val="20"/>
          <w:color w:val="auto"/>
        </w:rPr>
      </w:pPr>
      <w:r>
        <w:rPr>
          <w:rFonts w:ascii="Calibri" w:cs="Calibri" w:eastAsia="Calibri" w:hAnsi="Calibri"/>
          <w:sz w:val="22"/>
          <w:szCs w:val="22"/>
          <w:color w:val="auto"/>
        </w:rPr>
        <w:t>Informaton is considered non-public unless it has been broadly disseminated to the public for a sufcient period to be refected in the price of the security. Under this Policy, informaton</w:t>
      </w:r>
    </w:p>
    <w:p>
      <w:pPr>
        <w:sectPr>
          <w:pgSz w:w="11900" w:h="16838" w:orient="portrait"/>
          <w:cols w:equalWidth="0" w:num="1">
            <w:col w:w="11200"/>
          </w:cols>
          <w:pgMar w:left="320" w:top="1410" w:right="379" w:bottom="1440" w:gutter="0" w:footer="0" w:header="0"/>
        </w:sectPr>
      </w:pPr>
    </w:p>
    <w:bookmarkStart w:id="90" w:name="page91"/>
    <w:bookmarkEnd w:id="90"/>
    <w:p>
      <w:pPr>
        <w:ind w:right="240"/>
        <w:spacing w:after="0" w:line="243" w:lineRule="auto"/>
        <w:rPr>
          <w:sz w:val="20"/>
          <w:szCs w:val="20"/>
          <w:color w:val="auto"/>
        </w:rPr>
      </w:pPr>
      <w:r>
        <w:rPr>
          <w:rFonts w:ascii="Calibri" w:cs="Calibri" w:eastAsia="Calibri" w:hAnsi="Calibri"/>
          <w:sz w:val="22"/>
          <w:szCs w:val="22"/>
          <w:color w:val="auto"/>
        </w:rPr>
        <w:t>should not be considered fully absorbed by the marketplace untl afer the frst full trading day following an announcement or disclosure through a press release or through a fling with the SEC.</w:t>
      </w:r>
    </w:p>
    <w:p>
      <w:pPr>
        <w:spacing w:after="0" w:line="261" w:lineRule="exact"/>
        <w:rPr>
          <w:sz w:val="20"/>
          <w:szCs w:val="20"/>
          <w:color w:val="auto"/>
        </w:rPr>
      </w:pPr>
    </w:p>
    <w:p>
      <w:pPr>
        <w:spacing w:after="0"/>
        <w:rPr>
          <w:sz w:val="20"/>
          <w:szCs w:val="20"/>
          <w:color w:val="auto"/>
        </w:rPr>
      </w:pPr>
      <w:r>
        <w:rPr>
          <w:rFonts w:ascii="Calibri" w:cs="Calibri" w:eastAsia="Calibri" w:hAnsi="Calibri"/>
          <w:sz w:val="23"/>
          <w:szCs w:val="23"/>
          <w:b w:val="1"/>
          <w:bCs w:val="1"/>
          <w:color w:val="262626"/>
        </w:rPr>
        <w:t>Statement of Policy</w:t>
      </w:r>
    </w:p>
    <w:p>
      <w:pPr>
        <w:spacing w:after="0" w:line="227"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595959"/>
        </w:rPr>
        <w:t>No Trading While Aware of Material, Non-public Informaton</w:t>
      </w:r>
    </w:p>
    <w:p>
      <w:pPr>
        <w:spacing w:after="0" w:line="26" w:lineRule="exact"/>
        <w:rPr>
          <w:sz w:val="20"/>
          <w:szCs w:val="20"/>
          <w:color w:val="auto"/>
        </w:rPr>
      </w:pPr>
    </w:p>
    <w:p>
      <w:pPr>
        <w:spacing w:after="0" w:line="255" w:lineRule="auto"/>
        <w:rPr>
          <w:sz w:val="20"/>
          <w:szCs w:val="20"/>
          <w:color w:val="auto"/>
        </w:rPr>
      </w:pPr>
      <w:r>
        <w:rPr>
          <w:rFonts w:ascii="Calibri" w:cs="Calibri" w:eastAsia="Calibri" w:hAnsi="Calibri"/>
          <w:sz w:val="22"/>
          <w:szCs w:val="22"/>
          <w:color w:val="auto"/>
        </w:rPr>
        <w:t xml:space="preserve">No Covered Person who is aware of material, non-public informaton relatng to the Company may, directly or through family members or other persons or enttes (such as trusts of which they are the trustee or corporatons, limited liability companies or partnerships that they control), (a) buy, sell, gif, or otherwise transact in securites of the Company (other than pursuant to a pre-approved trading plan complying with Rule 10b5-1) (see “Rule 10b5-1 Trading Plans” below), (b) recommend the purchase or sale of the Company’s securites or (c) engage in any other acton to take personal advantage of that informaton. In additon, no Covered Person who, in the course of working for the Company, learns of material, non-public informaton about another company (including companies that the Company conducts business with, the Company is negotatng a potental transacton, or compettors) may trade in that company’s securites or tp any other person to trade in that company’s securites untl the informaton becomes public or is no longer material. Informaton that is not material to the Company may nevertheless be material to that company (and </w:t>
      </w:r>
      <w:r>
        <w:rPr>
          <w:rFonts w:ascii="Calibri" w:cs="Calibri" w:eastAsia="Calibri" w:hAnsi="Calibri"/>
          <w:sz w:val="22"/>
          <w:szCs w:val="22"/>
          <w:i w:val="1"/>
          <w:iCs w:val="1"/>
          <w:color w:val="auto"/>
        </w:rPr>
        <w:t>vice versa</w:t>
      </w:r>
      <w:r>
        <w:rPr>
          <w:rFonts w:ascii="Calibri" w:cs="Calibri" w:eastAsia="Calibri" w:hAnsi="Calibri"/>
          <w:sz w:val="22"/>
          <w:szCs w:val="22"/>
          <w:color w:val="auto"/>
        </w:rPr>
        <w:t>). Persons with whom you have a history, patern or practce of sharing confdences – such as family members, close friends and fnancial and personal counselors – may be presumed to act on the basis of informaton known to you; therefore, special care should be taken so that material, non-public informaton is not disclosed to such persons.</w:t>
      </w:r>
    </w:p>
    <w:p>
      <w:pPr>
        <w:spacing w:after="0" w:line="233" w:lineRule="exact"/>
        <w:rPr>
          <w:sz w:val="20"/>
          <w:szCs w:val="20"/>
          <w:color w:val="auto"/>
        </w:rPr>
      </w:pPr>
    </w:p>
    <w:p>
      <w:pPr>
        <w:ind w:right="140"/>
        <w:spacing w:after="0" w:line="254" w:lineRule="auto"/>
        <w:rPr>
          <w:sz w:val="20"/>
          <w:szCs w:val="20"/>
          <w:color w:val="auto"/>
        </w:rPr>
      </w:pPr>
      <w:r>
        <w:rPr>
          <w:rFonts w:ascii="Calibri" w:cs="Calibri" w:eastAsia="Calibri" w:hAnsi="Calibri"/>
          <w:sz w:val="22"/>
          <w:szCs w:val="22"/>
          <w:color w:val="auto"/>
        </w:rPr>
        <w:t>Transactons in Company securites that may be necessary, or that may appear justfable, for independent reasons (such as the need to raise money for an emergency expenditure) are not exempted from this Policy. The securites laws do not recognize such mitgatng circumstances, and, in any event, even the appearance of an improper transacton can lead to a legal enforcement acton.</w:t>
      </w:r>
    </w:p>
    <w:p>
      <w:pPr>
        <w:spacing w:after="0" w:line="216"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595959"/>
        </w:rPr>
        <w:t>Disclosure of Material, Non-public Informaton</w:t>
      </w:r>
    </w:p>
    <w:p>
      <w:pPr>
        <w:spacing w:after="0" w:line="39" w:lineRule="exact"/>
        <w:rPr>
          <w:sz w:val="20"/>
          <w:szCs w:val="20"/>
          <w:color w:val="auto"/>
        </w:rPr>
      </w:pPr>
    </w:p>
    <w:p>
      <w:pPr>
        <w:ind w:right="400"/>
        <w:spacing w:after="0" w:line="248" w:lineRule="auto"/>
        <w:rPr>
          <w:sz w:val="20"/>
          <w:szCs w:val="20"/>
          <w:color w:val="auto"/>
        </w:rPr>
      </w:pPr>
      <w:r>
        <w:rPr>
          <w:rFonts w:ascii="Calibri" w:cs="Calibri" w:eastAsia="Calibri" w:hAnsi="Calibri"/>
          <w:sz w:val="22"/>
          <w:szCs w:val="22"/>
          <w:color w:val="auto"/>
        </w:rPr>
        <w:t>Unless specifcally authorized by the Company’s Chief Executve Ofcer or Chief Financial Ofcer, no Covered Person may disclose material, non-public informaton about the Company to persons within the Company whose jobs do not reasonably require them to have that informaton or to any person whatsoever outside the Company.</w:t>
      </w:r>
    </w:p>
    <w:p>
      <w:pPr>
        <w:spacing w:after="0" w:line="223"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595959"/>
        </w:rPr>
        <w:t>Transactons by Family Members</w:t>
      </w:r>
    </w:p>
    <w:p>
      <w:pPr>
        <w:spacing w:after="0" w:line="39" w:lineRule="exact"/>
        <w:rPr>
          <w:sz w:val="20"/>
          <w:szCs w:val="20"/>
          <w:color w:val="auto"/>
        </w:rPr>
      </w:pPr>
    </w:p>
    <w:p>
      <w:pPr>
        <w:ind w:right="60"/>
        <w:spacing w:after="0" w:line="250" w:lineRule="auto"/>
        <w:rPr>
          <w:sz w:val="20"/>
          <w:szCs w:val="20"/>
          <w:color w:val="auto"/>
        </w:rPr>
      </w:pPr>
      <w:r>
        <w:rPr>
          <w:rFonts w:ascii="Calibri" w:cs="Calibri" w:eastAsia="Calibri" w:hAnsi="Calibri"/>
          <w:sz w:val="22"/>
          <w:szCs w:val="22"/>
          <w:color w:val="auto"/>
        </w:rPr>
        <w:t>This Policy also applies to anyone who resides with a Covered Person and family members who do not live in a Covered Person’s household but whose transactons in the Company’s securites are directed by a Covered Person or are subject to a Covered Person’s infuence or control (such as relatves who consult with a Covered Person before they trade in the Company’s securites)</w:t>
      </w:r>
    </w:p>
    <w:p>
      <w:pPr>
        <w:sectPr>
          <w:pgSz w:w="11900" w:h="16838" w:orient="portrait"/>
          <w:cols w:equalWidth="0" w:num="1">
            <w:col w:w="11240"/>
          </w:cols>
          <w:pgMar w:left="320" w:top="1421" w:right="339" w:bottom="1440" w:gutter="0" w:footer="0" w:header="0"/>
        </w:sectPr>
      </w:pPr>
    </w:p>
    <w:bookmarkStart w:id="91" w:name="page92"/>
    <w:bookmarkEnd w:id="91"/>
    <w:p>
      <w:pPr>
        <w:spacing w:after="0" w:line="254" w:lineRule="auto"/>
        <w:rPr>
          <w:sz w:val="20"/>
          <w:szCs w:val="20"/>
          <w:color w:val="auto"/>
        </w:rPr>
      </w:pPr>
      <w:r>
        <w:rPr>
          <w:rFonts w:ascii="Calibri" w:cs="Calibri" w:eastAsia="Calibri" w:hAnsi="Calibri"/>
          <w:sz w:val="22"/>
          <w:szCs w:val="22"/>
          <w:color w:val="auto"/>
        </w:rPr>
        <w:t>(any such person being a “Family Member”). Each Covered Person is responsible for the transactons of these other persons, and, therefore, Covered Persons should make sure such persons are aware of this Policy, including the restrictons on trading in Company securites.</w:t>
      </w:r>
    </w:p>
    <w:p>
      <w:pPr>
        <w:spacing w:after="0" w:line="21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595959"/>
        </w:rPr>
        <w:t>“Twenty-Twenty Hindsight”</w:t>
      </w:r>
    </w:p>
    <w:p>
      <w:pPr>
        <w:spacing w:after="0" w:line="28" w:lineRule="exact"/>
        <w:rPr>
          <w:sz w:val="20"/>
          <w:szCs w:val="20"/>
          <w:color w:val="auto"/>
        </w:rPr>
      </w:pPr>
    </w:p>
    <w:p>
      <w:pPr>
        <w:ind w:right="120"/>
        <w:spacing w:after="0" w:line="243" w:lineRule="auto"/>
        <w:rPr>
          <w:sz w:val="20"/>
          <w:szCs w:val="20"/>
          <w:color w:val="auto"/>
        </w:rPr>
      </w:pPr>
      <w:r>
        <w:rPr>
          <w:rFonts w:ascii="Calibri" w:cs="Calibri" w:eastAsia="Calibri" w:hAnsi="Calibri"/>
          <w:sz w:val="22"/>
          <w:szCs w:val="22"/>
          <w:color w:val="auto"/>
        </w:rPr>
        <w:t>Before engaging in any transacton, Covered Persons should carefully consider how enforcement authorites and others might view the transacton in hindsight afer the occurrence of a negatve event.</w:t>
      </w:r>
    </w:p>
    <w:p>
      <w:pPr>
        <w:spacing w:after="0" w:line="240"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595959"/>
        </w:rPr>
        <w:t>Quarterly Blackout Periods</w:t>
      </w:r>
    </w:p>
    <w:p>
      <w:pPr>
        <w:spacing w:after="0" w:line="28" w:lineRule="exact"/>
        <w:rPr>
          <w:sz w:val="20"/>
          <w:szCs w:val="20"/>
          <w:color w:val="auto"/>
        </w:rPr>
      </w:pPr>
    </w:p>
    <w:p>
      <w:pPr>
        <w:jc w:val="both"/>
        <w:ind w:right="140"/>
        <w:spacing w:after="0" w:line="268" w:lineRule="auto"/>
        <w:rPr>
          <w:sz w:val="20"/>
          <w:szCs w:val="20"/>
          <w:color w:val="auto"/>
        </w:rPr>
      </w:pPr>
      <w:r>
        <w:rPr>
          <w:rFonts w:ascii="Calibri" w:cs="Calibri" w:eastAsia="Calibri" w:hAnsi="Calibri"/>
          <w:sz w:val="21"/>
          <w:szCs w:val="21"/>
          <w:color w:val="auto"/>
        </w:rPr>
        <w:t>The Company’s announcement of its quarterly and annual fnancial results has the potental to have a material efect on the market for the Company’s securites. Therefore, to avoid even the appearance of trading while aware of material, non-public informaton, the following people (and their Family Members) are prohibited from trading in the Company’s securites during the period beginning twenty-one calendar days prior to the close of each of the Company’s fscal quarters and fscal year, and ending afer the frst full trading day following the Company’s issuance of its quarterly or annual earnings release:</w:t>
      </w:r>
    </w:p>
    <w:p>
      <w:pPr>
        <w:spacing w:after="0" w:line="205" w:lineRule="exact"/>
        <w:rPr>
          <w:sz w:val="20"/>
          <w:szCs w:val="20"/>
          <w:color w:val="auto"/>
        </w:rPr>
      </w:pPr>
    </w:p>
    <w:p>
      <w:pPr>
        <w:ind w:left="320" w:hanging="312"/>
        <w:spacing w:after="0"/>
        <w:tabs>
          <w:tab w:leader="none" w:pos="320" w:val="left"/>
        </w:tabs>
        <w:numPr>
          <w:ilvl w:val="0"/>
          <w:numId w:val="50"/>
        </w:numPr>
        <w:rPr>
          <w:rFonts w:ascii="Calibri" w:cs="Calibri" w:eastAsia="Calibri" w:hAnsi="Calibri"/>
          <w:sz w:val="22"/>
          <w:szCs w:val="22"/>
          <w:color w:val="auto"/>
        </w:rPr>
      </w:pPr>
      <w:r>
        <w:rPr>
          <w:rFonts w:ascii="Calibri" w:cs="Calibri" w:eastAsia="Calibri" w:hAnsi="Calibri"/>
          <w:sz w:val="22"/>
          <w:szCs w:val="22"/>
          <w:color w:val="auto"/>
        </w:rPr>
        <w:t>Directors;</w:t>
      </w:r>
    </w:p>
    <w:p>
      <w:pPr>
        <w:spacing w:after="0" w:line="14" w:lineRule="exact"/>
        <w:rPr>
          <w:rFonts w:ascii="Calibri" w:cs="Calibri" w:eastAsia="Calibri" w:hAnsi="Calibri"/>
          <w:sz w:val="22"/>
          <w:szCs w:val="22"/>
          <w:color w:val="auto"/>
        </w:rPr>
      </w:pPr>
    </w:p>
    <w:p>
      <w:pPr>
        <w:ind w:left="320" w:hanging="312"/>
        <w:spacing w:after="0"/>
        <w:tabs>
          <w:tab w:leader="none" w:pos="320" w:val="left"/>
        </w:tabs>
        <w:numPr>
          <w:ilvl w:val="0"/>
          <w:numId w:val="50"/>
        </w:numPr>
        <w:rPr>
          <w:rFonts w:ascii="Calibri" w:cs="Calibri" w:eastAsia="Calibri" w:hAnsi="Calibri"/>
          <w:sz w:val="22"/>
          <w:szCs w:val="22"/>
          <w:color w:val="auto"/>
        </w:rPr>
      </w:pPr>
      <w:r>
        <w:rPr>
          <w:rFonts w:ascii="Calibri" w:cs="Calibri" w:eastAsia="Calibri" w:hAnsi="Calibri"/>
          <w:sz w:val="22"/>
          <w:szCs w:val="22"/>
          <w:color w:val="auto"/>
        </w:rPr>
        <w:t>Executve Ofcers;</w:t>
      </w:r>
    </w:p>
    <w:p>
      <w:pPr>
        <w:spacing w:after="0" w:line="26" w:lineRule="exact"/>
        <w:rPr>
          <w:rFonts w:ascii="Calibri" w:cs="Calibri" w:eastAsia="Calibri" w:hAnsi="Calibri"/>
          <w:sz w:val="22"/>
          <w:szCs w:val="22"/>
          <w:color w:val="auto"/>
        </w:rPr>
      </w:pPr>
    </w:p>
    <w:p>
      <w:pPr>
        <w:ind w:left="320" w:hanging="312"/>
        <w:spacing w:after="0"/>
        <w:tabs>
          <w:tab w:leader="none" w:pos="320" w:val="left"/>
        </w:tabs>
        <w:numPr>
          <w:ilvl w:val="0"/>
          <w:numId w:val="50"/>
        </w:numPr>
        <w:rPr>
          <w:rFonts w:ascii="Calibri" w:cs="Calibri" w:eastAsia="Calibri" w:hAnsi="Calibri"/>
          <w:sz w:val="22"/>
          <w:szCs w:val="22"/>
          <w:color w:val="auto"/>
        </w:rPr>
      </w:pPr>
      <w:r>
        <w:rPr>
          <w:rFonts w:ascii="Calibri" w:cs="Calibri" w:eastAsia="Calibri" w:hAnsi="Calibri"/>
          <w:sz w:val="22"/>
          <w:szCs w:val="22"/>
          <w:color w:val="auto"/>
        </w:rPr>
        <w:t>Executve Team Members;</w:t>
      </w:r>
    </w:p>
    <w:p>
      <w:pPr>
        <w:spacing w:after="0" w:line="14" w:lineRule="exact"/>
        <w:rPr>
          <w:rFonts w:ascii="Calibri" w:cs="Calibri" w:eastAsia="Calibri" w:hAnsi="Calibri"/>
          <w:sz w:val="22"/>
          <w:szCs w:val="22"/>
          <w:color w:val="auto"/>
        </w:rPr>
      </w:pPr>
    </w:p>
    <w:p>
      <w:pPr>
        <w:ind w:left="320" w:hanging="312"/>
        <w:spacing w:after="0"/>
        <w:tabs>
          <w:tab w:leader="none" w:pos="320" w:val="left"/>
        </w:tabs>
        <w:numPr>
          <w:ilvl w:val="0"/>
          <w:numId w:val="50"/>
        </w:numPr>
        <w:rPr>
          <w:rFonts w:ascii="Calibri" w:cs="Calibri" w:eastAsia="Calibri" w:hAnsi="Calibri"/>
          <w:sz w:val="22"/>
          <w:szCs w:val="22"/>
          <w:color w:val="auto"/>
        </w:rPr>
      </w:pPr>
      <w:r>
        <w:rPr>
          <w:rFonts w:ascii="Calibri" w:cs="Calibri" w:eastAsia="Calibri" w:hAnsi="Calibri"/>
          <w:sz w:val="22"/>
          <w:szCs w:val="22"/>
          <w:color w:val="auto"/>
        </w:rPr>
        <w:t>Senior Team Members;</w:t>
      </w:r>
    </w:p>
    <w:p>
      <w:pPr>
        <w:spacing w:after="0" w:line="14" w:lineRule="exact"/>
        <w:rPr>
          <w:rFonts w:ascii="Calibri" w:cs="Calibri" w:eastAsia="Calibri" w:hAnsi="Calibri"/>
          <w:sz w:val="22"/>
          <w:szCs w:val="22"/>
          <w:color w:val="auto"/>
        </w:rPr>
      </w:pPr>
    </w:p>
    <w:p>
      <w:pPr>
        <w:ind w:left="320" w:hanging="312"/>
        <w:spacing w:after="0"/>
        <w:tabs>
          <w:tab w:leader="none" w:pos="320" w:val="left"/>
        </w:tabs>
        <w:numPr>
          <w:ilvl w:val="0"/>
          <w:numId w:val="50"/>
        </w:numPr>
        <w:rPr>
          <w:rFonts w:ascii="Calibri" w:cs="Calibri" w:eastAsia="Calibri" w:hAnsi="Calibri"/>
          <w:sz w:val="22"/>
          <w:szCs w:val="22"/>
          <w:color w:val="auto"/>
        </w:rPr>
      </w:pPr>
      <w:r>
        <w:rPr>
          <w:rFonts w:ascii="Calibri" w:cs="Calibri" w:eastAsia="Calibri" w:hAnsi="Calibri"/>
          <w:sz w:val="22"/>
          <w:szCs w:val="22"/>
          <w:color w:val="auto"/>
        </w:rPr>
        <w:t>Partcipants in the Company’s Three-Year Plan;</w:t>
      </w:r>
    </w:p>
    <w:p>
      <w:pPr>
        <w:spacing w:after="0" w:line="40" w:lineRule="exact"/>
        <w:rPr>
          <w:rFonts w:ascii="Calibri" w:cs="Calibri" w:eastAsia="Calibri" w:hAnsi="Calibri"/>
          <w:sz w:val="22"/>
          <w:szCs w:val="22"/>
          <w:color w:val="auto"/>
        </w:rPr>
      </w:pPr>
    </w:p>
    <w:p>
      <w:pPr>
        <w:ind w:left="340" w:right="240" w:hanging="332"/>
        <w:spacing w:after="0" w:line="242" w:lineRule="auto"/>
        <w:tabs>
          <w:tab w:leader="none" w:pos="329" w:val="left"/>
        </w:tabs>
        <w:numPr>
          <w:ilvl w:val="0"/>
          <w:numId w:val="50"/>
        </w:numPr>
        <w:rPr>
          <w:rFonts w:ascii="Calibri" w:cs="Calibri" w:eastAsia="Calibri" w:hAnsi="Calibri"/>
          <w:sz w:val="22"/>
          <w:szCs w:val="22"/>
          <w:color w:val="auto"/>
        </w:rPr>
      </w:pPr>
      <w:r>
        <w:rPr>
          <w:rFonts w:ascii="Calibri" w:cs="Calibri" w:eastAsia="Calibri" w:hAnsi="Calibri"/>
          <w:sz w:val="22"/>
          <w:szCs w:val="22"/>
          <w:color w:val="auto"/>
        </w:rPr>
        <w:t>Employees on the corporate or divisional Finance teams involved in the preparaton or roll-up of the Company’s fnancial statements;</w:t>
      </w:r>
    </w:p>
    <w:p>
      <w:pPr>
        <w:spacing w:after="0" w:line="14" w:lineRule="exact"/>
        <w:rPr>
          <w:rFonts w:ascii="Calibri" w:cs="Calibri" w:eastAsia="Calibri" w:hAnsi="Calibri"/>
          <w:sz w:val="22"/>
          <w:szCs w:val="22"/>
          <w:color w:val="auto"/>
        </w:rPr>
      </w:pPr>
    </w:p>
    <w:p>
      <w:pPr>
        <w:ind w:left="320" w:hanging="312"/>
        <w:spacing w:after="0"/>
        <w:tabs>
          <w:tab w:leader="none" w:pos="320" w:val="left"/>
        </w:tabs>
        <w:numPr>
          <w:ilvl w:val="0"/>
          <w:numId w:val="50"/>
        </w:numPr>
        <w:rPr>
          <w:rFonts w:ascii="Calibri" w:cs="Calibri" w:eastAsia="Calibri" w:hAnsi="Calibri"/>
          <w:sz w:val="22"/>
          <w:szCs w:val="22"/>
          <w:color w:val="auto"/>
        </w:rPr>
      </w:pPr>
      <w:r>
        <w:rPr>
          <w:rFonts w:ascii="Calibri" w:cs="Calibri" w:eastAsia="Calibri" w:hAnsi="Calibri"/>
          <w:sz w:val="22"/>
          <w:szCs w:val="22"/>
          <w:color w:val="auto"/>
        </w:rPr>
        <w:t>Employees on the Investor Relatons and Legal teams; and</w:t>
      </w:r>
    </w:p>
    <w:p>
      <w:pPr>
        <w:spacing w:after="0" w:line="25" w:lineRule="exact"/>
        <w:rPr>
          <w:rFonts w:ascii="Calibri" w:cs="Calibri" w:eastAsia="Calibri" w:hAnsi="Calibri"/>
          <w:sz w:val="22"/>
          <w:szCs w:val="22"/>
          <w:color w:val="auto"/>
        </w:rPr>
      </w:pPr>
    </w:p>
    <w:p>
      <w:pPr>
        <w:ind w:left="340" w:right="340" w:hanging="332"/>
        <w:spacing w:after="0" w:line="255" w:lineRule="auto"/>
        <w:tabs>
          <w:tab w:leader="none" w:pos="329" w:val="left"/>
        </w:tabs>
        <w:numPr>
          <w:ilvl w:val="0"/>
          <w:numId w:val="50"/>
        </w:numPr>
        <w:rPr>
          <w:rFonts w:ascii="Calibri" w:cs="Calibri" w:eastAsia="Calibri" w:hAnsi="Calibri"/>
          <w:sz w:val="22"/>
          <w:szCs w:val="22"/>
          <w:color w:val="auto"/>
        </w:rPr>
      </w:pPr>
      <w:r>
        <w:rPr>
          <w:rFonts w:ascii="Calibri" w:cs="Calibri" w:eastAsia="Calibri" w:hAnsi="Calibri"/>
          <w:sz w:val="22"/>
          <w:szCs w:val="22"/>
          <w:color w:val="auto"/>
        </w:rPr>
        <w:t>Any other employee designated by the Chief Executve Ofcer, President, Chief Financial Ofcer or Chief Legal Ofcer as subject to these quarterly blackout periods.</w:t>
      </w:r>
    </w:p>
    <w:p>
      <w:pPr>
        <w:spacing w:after="0" w:line="253" w:lineRule="exact"/>
        <w:rPr>
          <w:sz w:val="20"/>
          <w:szCs w:val="20"/>
          <w:color w:val="auto"/>
        </w:rPr>
      </w:pPr>
    </w:p>
    <w:p>
      <w:pPr>
        <w:ind w:right="560"/>
        <w:spacing w:after="0" w:line="243" w:lineRule="auto"/>
        <w:rPr>
          <w:sz w:val="20"/>
          <w:szCs w:val="20"/>
          <w:color w:val="auto"/>
        </w:rPr>
      </w:pPr>
      <w:r>
        <w:rPr>
          <w:rFonts w:ascii="Calibri" w:cs="Calibri" w:eastAsia="Calibri" w:hAnsi="Calibri"/>
          <w:sz w:val="22"/>
          <w:szCs w:val="22"/>
          <w:color w:val="auto"/>
        </w:rPr>
        <w:t>These “quarterly blackout periods,” however, may begin less than twenty-one calendar days prior to the end of any fscal quarter or fscal year to the extent necessary to provide an “open window period” during any fscal quarter.</w:t>
      </w:r>
    </w:p>
    <w:p>
      <w:pPr>
        <w:spacing w:after="0" w:line="227"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595959"/>
        </w:rPr>
        <w:t>Transactons During Window Periods</w:t>
      </w:r>
    </w:p>
    <w:p>
      <w:pPr>
        <w:spacing w:after="0" w:line="41" w:lineRule="exact"/>
        <w:rPr>
          <w:sz w:val="20"/>
          <w:szCs w:val="20"/>
          <w:color w:val="auto"/>
        </w:rPr>
      </w:pPr>
    </w:p>
    <w:p>
      <w:pPr>
        <w:ind w:right="560"/>
        <w:spacing w:after="0" w:line="243" w:lineRule="auto"/>
        <w:rPr>
          <w:sz w:val="20"/>
          <w:szCs w:val="20"/>
          <w:color w:val="auto"/>
        </w:rPr>
      </w:pPr>
      <w:r>
        <w:rPr>
          <w:rFonts w:ascii="Calibri" w:cs="Calibri" w:eastAsia="Calibri" w:hAnsi="Calibri"/>
          <w:sz w:val="22"/>
          <w:szCs w:val="22"/>
          <w:color w:val="auto"/>
        </w:rPr>
        <w:t>No Covered Person may buy sell, or gif Company securites, even during an open window period, if he or she is aware of material, non-public informaton.</w:t>
      </w:r>
    </w:p>
    <w:p>
      <w:pPr>
        <w:spacing w:after="0" w:line="227"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595959"/>
        </w:rPr>
        <w:t>Event-Specifc Blackout Periods</w:t>
      </w:r>
    </w:p>
    <w:p>
      <w:pPr>
        <w:spacing w:after="0" w:line="27" w:lineRule="exact"/>
        <w:rPr>
          <w:sz w:val="20"/>
          <w:szCs w:val="20"/>
          <w:color w:val="auto"/>
        </w:rPr>
      </w:pPr>
    </w:p>
    <w:p>
      <w:pPr>
        <w:jc w:val="both"/>
        <w:ind w:right="40"/>
        <w:spacing w:after="0" w:line="272" w:lineRule="auto"/>
        <w:rPr>
          <w:sz w:val="20"/>
          <w:szCs w:val="20"/>
          <w:color w:val="auto"/>
        </w:rPr>
      </w:pPr>
      <w:r>
        <w:rPr>
          <w:rFonts w:ascii="Calibri" w:cs="Calibri" w:eastAsia="Calibri" w:hAnsi="Calibri"/>
          <w:sz w:val="21"/>
          <w:szCs w:val="21"/>
          <w:color w:val="auto"/>
        </w:rPr>
        <w:t>In additon to the quarterly blackout periods, from tme to tme an event may occur that is or may be material to the Company and is known only by some or all Covered Persons. In such a case, the Chief Executve Ofcer, President, Chief Financial Ofcer or Chief Legal Ofcer may designate an “event-specifc blackout period.” The existence of an event-specifc blackout</w:t>
      </w:r>
    </w:p>
    <w:p>
      <w:pPr>
        <w:sectPr>
          <w:pgSz w:w="11900" w:h="16838" w:orient="portrait"/>
          <w:cols w:equalWidth="0" w:num="1">
            <w:col w:w="11100"/>
          </w:cols>
          <w:pgMar w:left="320" w:top="1421" w:right="479" w:bottom="1440" w:gutter="0" w:footer="0" w:header="0"/>
        </w:sectPr>
      </w:pPr>
    </w:p>
    <w:bookmarkStart w:id="92" w:name="page93"/>
    <w:bookmarkEnd w:id="92"/>
    <w:p>
      <w:pPr>
        <w:spacing w:after="0" w:line="253" w:lineRule="auto"/>
        <w:rPr>
          <w:sz w:val="20"/>
          <w:szCs w:val="20"/>
          <w:color w:val="auto"/>
        </w:rPr>
      </w:pPr>
      <w:r>
        <w:rPr>
          <w:rFonts w:ascii="Calibri" w:cs="Calibri" w:eastAsia="Calibri" w:hAnsi="Calibri"/>
          <w:sz w:val="22"/>
          <w:szCs w:val="22"/>
          <w:color w:val="auto"/>
        </w:rPr>
        <w:t>period may not be announced other than to those who are actually aware of the event giving rise to the blackout period. As long as the event-specifc blackout remains in efect, no person designated as subject to such blackout may trade in the Company’s securites. Any person made aware of the existence of an event-specifc blackout period should not disclose the existence of the blackout period to any other person. The failure of the Chief Executve Ofcer, Chief Financial Ofcer or Chief Legal Ofcer to designate a person as being subject to an event-specifc blackout period will not relieve that person of the legal obligaton not to trade while aware of the material, non-public informaton.</w:t>
      </w:r>
    </w:p>
    <w:p>
      <w:pPr>
        <w:spacing w:after="0" w:line="23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595959"/>
        </w:rPr>
        <w:t>Exceptons</w:t>
      </w:r>
    </w:p>
    <w:p>
      <w:pPr>
        <w:spacing w:after="0" w:line="13" w:lineRule="exact"/>
        <w:rPr>
          <w:sz w:val="20"/>
          <w:szCs w:val="20"/>
          <w:color w:val="auto"/>
        </w:rPr>
      </w:pPr>
    </w:p>
    <w:p>
      <w:pPr>
        <w:spacing w:after="0"/>
        <w:rPr>
          <w:sz w:val="20"/>
          <w:szCs w:val="20"/>
          <w:color w:val="auto"/>
        </w:rPr>
      </w:pPr>
      <w:r>
        <w:rPr>
          <w:rFonts w:ascii="Calibri" w:cs="Calibri" w:eastAsia="Calibri" w:hAnsi="Calibri"/>
          <w:sz w:val="22"/>
          <w:szCs w:val="22"/>
          <w:color w:val="auto"/>
        </w:rPr>
        <w:t>Except as otherwise provided in this secton, there are no exceptons to this Policy:</w:t>
      </w:r>
    </w:p>
    <w:p>
      <w:pPr>
        <w:spacing w:after="0" w:line="233" w:lineRule="exact"/>
        <w:rPr>
          <w:sz w:val="20"/>
          <w:szCs w:val="20"/>
          <w:color w:val="auto"/>
        </w:rPr>
      </w:pPr>
    </w:p>
    <w:p>
      <w:pPr>
        <w:ind w:left="660"/>
        <w:spacing w:after="0"/>
        <w:rPr>
          <w:sz w:val="20"/>
          <w:szCs w:val="20"/>
          <w:color w:val="auto"/>
        </w:rPr>
      </w:pPr>
      <w:r>
        <w:rPr>
          <w:rFonts w:ascii="Calibri" w:cs="Calibri" w:eastAsia="Calibri" w:hAnsi="Calibri"/>
          <w:sz w:val="22"/>
          <w:szCs w:val="22"/>
          <w:b w:val="1"/>
          <w:bCs w:val="1"/>
          <w:color w:val="595959"/>
        </w:rPr>
        <w:t>Hardship Exceptons</w:t>
      </w:r>
    </w:p>
    <w:p>
      <w:pPr>
        <w:spacing w:after="0" w:line="26" w:lineRule="exact"/>
        <w:rPr>
          <w:sz w:val="20"/>
          <w:szCs w:val="20"/>
          <w:color w:val="auto"/>
        </w:rPr>
      </w:pPr>
    </w:p>
    <w:p>
      <w:pPr>
        <w:ind w:left="660" w:right="280"/>
        <w:spacing w:after="0" w:line="254" w:lineRule="auto"/>
        <w:rPr>
          <w:sz w:val="20"/>
          <w:szCs w:val="20"/>
          <w:color w:val="auto"/>
        </w:rPr>
      </w:pPr>
      <w:r>
        <w:rPr>
          <w:rFonts w:ascii="Calibri" w:cs="Calibri" w:eastAsia="Calibri" w:hAnsi="Calibri"/>
          <w:sz w:val="22"/>
          <w:szCs w:val="22"/>
          <w:color w:val="auto"/>
        </w:rPr>
        <w:t>A person who is subject to a blackout period and who has an unexpected and urgent need to sell the Company’s stock in order to generate cash may seek an excepton from this Policy from the Chief Financial Ofcer or Chief Legal Ofcer. Such a hardship excepton may only be granted if the Chief Financial Ofcer or Chief Legal Ofcer concludes that neither the Company nor the requestng person is then aware of material, non-public informaton.</w:t>
      </w:r>
    </w:p>
    <w:p>
      <w:pPr>
        <w:spacing w:after="0" w:line="241" w:lineRule="exact"/>
        <w:rPr>
          <w:sz w:val="20"/>
          <w:szCs w:val="20"/>
          <w:color w:val="auto"/>
        </w:rPr>
      </w:pPr>
    </w:p>
    <w:p>
      <w:pPr>
        <w:ind w:left="660"/>
        <w:spacing w:after="0"/>
        <w:rPr>
          <w:sz w:val="20"/>
          <w:szCs w:val="20"/>
          <w:color w:val="auto"/>
        </w:rPr>
      </w:pPr>
      <w:r>
        <w:rPr>
          <w:rFonts w:ascii="Calibri" w:cs="Calibri" w:eastAsia="Calibri" w:hAnsi="Calibri"/>
          <w:sz w:val="22"/>
          <w:szCs w:val="22"/>
          <w:b w:val="1"/>
          <w:bCs w:val="1"/>
          <w:color w:val="595959"/>
        </w:rPr>
        <w:t>Certain Estate Plan Transactons</w:t>
      </w:r>
    </w:p>
    <w:p>
      <w:pPr>
        <w:spacing w:after="0" w:line="41" w:lineRule="exact"/>
        <w:rPr>
          <w:sz w:val="20"/>
          <w:szCs w:val="20"/>
          <w:color w:val="auto"/>
        </w:rPr>
      </w:pPr>
    </w:p>
    <w:p>
      <w:pPr>
        <w:ind w:left="660" w:right="200"/>
        <w:spacing w:after="0" w:line="270" w:lineRule="auto"/>
        <w:rPr>
          <w:sz w:val="20"/>
          <w:szCs w:val="20"/>
          <w:color w:val="auto"/>
        </w:rPr>
      </w:pPr>
      <w:r>
        <w:rPr>
          <w:rFonts w:ascii="Calibri" w:cs="Calibri" w:eastAsia="Calibri" w:hAnsi="Calibri"/>
          <w:sz w:val="21"/>
          <w:szCs w:val="21"/>
          <w:color w:val="auto"/>
        </w:rPr>
        <w:t>Transfers of Company stock made (without any return payment) to family trusts or to other estate planning transactons are permited under this Policy, provided that (i) the person or his or her immediate family members are the sole benefcial owners and sole benefciaries of the transferred Company stock, and (ii) the terms of the transfer ensure that the stock remain subject to the same restrictons that apply to the person who made the transfer.</w:t>
      </w:r>
    </w:p>
    <w:p>
      <w:pPr>
        <w:spacing w:after="0" w:line="213" w:lineRule="exact"/>
        <w:rPr>
          <w:sz w:val="20"/>
          <w:szCs w:val="20"/>
          <w:color w:val="auto"/>
        </w:rPr>
      </w:pPr>
    </w:p>
    <w:p>
      <w:pPr>
        <w:ind w:left="660"/>
        <w:spacing w:after="0"/>
        <w:rPr>
          <w:sz w:val="20"/>
          <w:szCs w:val="20"/>
          <w:color w:val="auto"/>
        </w:rPr>
      </w:pPr>
      <w:r>
        <w:rPr>
          <w:rFonts w:ascii="Calibri" w:cs="Calibri" w:eastAsia="Calibri" w:hAnsi="Calibri"/>
          <w:sz w:val="22"/>
          <w:szCs w:val="22"/>
          <w:b w:val="1"/>
          <w:bCs w:val="1"/>
          <w:color w:val="595959"/>
        </w:rPr>
        <w:t>Rule 10b5-1 Plans</w:t>
      </w:r>
    </w:p>
    <w:p>
      <w:pPr>
        <w:spacing w:after="0" w:line="25" w:lineRule="exact"/>
        <w:rPr>
          <w:sz w:val="20"/>
          <w:szCs w:val="20"/>
          <w:color w:val="auto"/>
        </w:rPr>
      </w:pPr>
    </w:p>
    <w:p>
      <w:pPr>
        <w:ind w:left="660" w:right="180"/>
        <w:spacing w:after="0" w:line="255" w:lineRule="auto"/>
        <w:rPr>
          <w:sz w:val="20"/>
          <w:szCs w:val="20"/>
          <w:color w:val="auto"/>
        </w:rPr>
      </w:pPr>
      <w:r>
        <w:rPr>
          <w:rFonts w:ascii="Calibri" w:cs="Calibri" w:eastAsia="Calibri" w:hAnsi="Calibri"/>
          <w:sz w:val="22"/>
          <w:szCs w:val="22"/>
          <w:color w:val="auto"/>
        </w:rPr>
        <w:t>Transactons in Company securites made pursuant to a Rule 10b5-1 Plan, which meets certain conditons specifed by SEC rules, are permited under this Policy. Any Covered Person who desires to implement a Rule 10b5-1 Plan must frst pre-clear the plan with the Chief Financial Ofcer or Chief Legal Ofcer by submitng a request (together with a copy of the plan) to the Chief Financial Ofcer or Chief Legal Ofcer in advance of entering into any such plan and disclosing whether the requester is aware of any material, non-public informaton about the Company. If the Chief Financial Ofcer or Chief Legal Ofcer permits entering into the plan, such plan must be entered into before the close of the stock market on the trading day following the authorizaton. As required by the SEC, a Rule 10b5-1 Plan may only be entered into by a person when that person is not aware of material, non-public informaton, and then only outside of any applicable blackout period. Transactons</w:t>
      </w:r>
    </w:p>
    <w:p>
      <w:pPr>
        <w:sectPr>
          <w:pgSz w:w="11900" w:h="16838" w:orient="portrait"/>
          <w:cols w:equalWidth="0" w:num="1">
            <w:col w:w="11080"/>
          </w:cols>
          <w:pgMar w:left="320" w:top="1421" w:right="499" w:bottom="1440" w:gutter="0" w:footer="0" w:header="0"/>
        </w:sectPr>
      </w:pPr>
    </w:p>
    <w:bookmarkStart w:id="93" w:name="page94"/>
    <w:bookmarkEnd w:id="93"/>
    <w:p>
      <w:pPr>
        <w:spacing w:after="0" w:line="211" w:lineRule="exact"/>
        <w:rPr>
          <w:sz w:val="20"/>
          <w:szCs w:val="20"/>
          <w:color w:val="auto"/>
        </w:rPr>
      </w:pPr>
    </w:p>
    <w:p>
      <w:pPr>
        <w:ind w:left="660" w:right="300"/>
        <w:spacing w:after="0" w:line="265" w:lineRule="auto"/>
        <w:rPr>
          <w:sz w:val="20"/>
          <w:szCs w:val="20"/>
          <w:color w:val="auto"/>
        </w:rPr>
      </w:pPr>
      <w:r>
        <w:rPr>
          <w:rFonts w:ascii="Calibri" w:cs="Calibri" w:eastAsia="Calibri" w:hAnsi="Calibri"/>
          <w:sz w:val="21"/>
          <w:szCs w:val="21"/>
          <w:color w:val="auto"/>
        </w:rPr>
        <w:t>made pursuant to a pre-cleared Rule 10b5-1 Plan do not require further pre-clearance at the tme of the transacton and may be made during blackout periods and while aware of material non-public informaton. Amendments and terminatons of any Rule 10b5-1 Plan must similarly be approved by the Chief Financial Ofcer or Chief Legal Ofcer.</w:t>
      </w:r>
    </w:p>
    <w:p>
      <w:pPr>
        <w:spacing w:after="0" w:line="220" w:lineRule="exact"/>
        <w:rPr>
          <w:sz w:val="20"/>
          <w:szCs w:val="20"/>
          <w:color w:val="auto"/>
        </w:rPr>
      </w:pPr>
    </w:p>
    <w:p>
      <w:pPr>
        <w:ind w:left="660"/>
        <w:spacing w:after="0"/>
        <w:rPr>
          <w:sz w:val="20"/>
          <w:szCs w:val="20"/>
          <w:color w:val="auto"/>
        </w:rPr>
      </w:pPr>
      <w:r>
        <w:rPr>
          <w:rFonts w:ascii="Calibri" w:cs="Calibri" w:eastAsia="Calibri" w:hAnsi="Calibri"/>
          <w:sz w:val="22"/>
          <w:szCs w:val="22"/>
          <w:b w:val="1"/>
          <w:bCs w:val="1"/>
          <w:color w:val="595959"/>
        </w:rPr>
        <w:t>Stock Opton Exercises</w:t>
      </w:r>
    </w:p>
    <w:p>
      <w:pPr>
        <w:spacing w:after="0" w:line="39" w:lineRule="exact"/>
        <w:rPr>
          <w:sz w:val="20"/>
          <w:szCs w:val="20"/>
          <w:color w:val="auto"/>
        </w:rPr>
      </w:pPr>
    </w:p>
    <w:p>
      <w:pPr>
        <w:ind w:left="660" w:right="180"/>
        <w:spacing w:after="0" w:line="254" w:lineRule="auto"/>
        <w:rPr>
          <w:sz w:val="20"/>
          <w:szCs w:val="20"/>
          <w:color w:val="auto"/>
        </w:rPr>
      </w:pPr>
      <w:r>
        <w:rPr>
          <w:rFonts w:ascii="Calibri" w:cs="Calibri" w:eastAsia="Calibri" w:hAnsi="Calibri"/>
          <w:sz w:val="22"/>
          <w:szCs w:val="22"/>
          <w:color w:val="auto"/>
        </w:rPr>
        <w:t>The restrictons set forth in this Policy do not apply to stock opton exercises if no shares are sold or if there is a net exercise (which is the payment to the Company of underlying shares to cover the stock opton exercise price). The restrictons set forth in this Policy (including the quarterly blackout policy and event-specifc blackout policy) do apply, however, to any sale of stock as part of a broker-assisted “cashless exercise” of an opton or any market sale for the purpose of generatng the cash needed to pay the exercise price of an opton or associated taxes.</w:t>
      </w:r>
    </w:p>
    <w:p>
      <w:pPr>
        <w:spacing w:after="0" w:line="229" w:lineRule="exact"/>
        <w:rPr>
          <w:sz w:val="20"/>
          <w:szCs w:val="20"/>
          <w:color w:val="auto"/>
        </w:rPr>
      </w:pPr>
    </w:p>
    <w:p>
      <w:pPr>
        <w:ind w:left="660"/>
        <w:spacing w:after="0"/>
        <w:rPr>
          <w:sz w:val="20"/>
          <w:szCs w:val="20"/>
          <w:color w:val="auto"/>
        </w:rPr>
      </w:pPr>
      <w:r>
        <w:rPr>
          <w:rFonts w:ascii="Calibri" w:cs="Calibri" w:eastAsia="Calibri" w:hAnsi="Calibri"/>
          <w:sz w:val="22"/>
          <w:szCs w:val="22"/>
          <w:b w:val="1"/>
          <w:bCs w:val="1"/>
          <w:color w:val="595959"/>
        </w:rPr>
        <w:t>Restricted Stock Awards</w:t>
      </w:r>
    </w:p>
    <w:p>
      <w:pPr>
        <w:spacing w:after="0" w:line="26" w:lineRule="exact"/>
        <w:rPr>
          <w:sz w:val="20"/>
          <w:szCs w:val="20"/>
          <w:color w:val="auto"/>
        </w:rPr>
      </w:pPr>
    </w:p>
    <w:p>
      <w:pPr>
        <w:ind w:left="660" w:right="200"/>
        <w:spacing w:after="0" w:line="270" w:lineRule="auto"/>
        <w:rPr>
          <w:sz w:val="20"/>
          <w:szCs w:val="20"/>
          <w:color w:val="auto"/>
        </w:rPr>
      </w:pPr>
      <w:r>
        <w:rPr>
          <w:rFonts w:ascii="Calibri" w:cs="Calibri" w:eastAsia="Calibri" w:hAnsi="Calibri"/>
          <w:sz w:val="21"/>
          <w:szCs w:val="21"/>
          <w:color w:val="auto"/>
        </w:rPr>
        <w:t>The restrictons set forth in this Policy do not apply to the vestng of restricted stock or the exercise of a tax withholding right pursuant to which a Covered Person elects to have the Company withhold shares of stock to satsfy tax withholding requirements upon the vestng of any restricted stock. The restrictons on trading (including the quarterly blackout policy and event-specifc blackout policy) do apply, however, to any market sale of restricted stock.</w:t>
      </w:r>
    </w:p>
    <w:p>
      <w:pPr>
        <w:spacing w:after="0" w:line="213" w:lineRule="exact"/>
        <w:rPr>
          <w:sz w:val="20"/>
          <w:szCs w:val="20"/>
          <w:color w:val="auto"/>
        </w:rPr>
      </w:pPr>
    </w:p>
    <w:p>
      <w:pPr>
        <w:ind w:left="660"/>
        <w:spacing w:after="0"/>
        <w:rPr>
          <w:sz w:val="20"/>
          <w:szCs w:val="20"/>
          <w:color w:val="auto"/>
        </w:rPr>
      </w:pPr>
      <w:r>
        <w:rPr>
          <w:rFonts w:ascii="Calibri" w:cs="Calibri" w:eastAsia="Calibri" w:hAnsi="Calibri"/>
          <w:sz w:val="22"/>
          <w:szCs w:val="22"/>
          <w:b w:val="1"/>
          <w:bCs w:val="1"/>
          <w:color w:val="595959"/>
        </w:rPr>
        <w:t>Employee Stock Purchase Plan</w:t>
      </w:r>
    </w:p>
    <w:p>
      <w:pPr>
        <w:spacing w:after="0" w:line="25" w:lineRule="exact"/>
        <w:rPr>
          <w:sz w:val="20"/>
          <w:szCs w:val="20"/>
          <w:color w:val="auto"/>
        </w:rPr>
      </w:pPr>
    </w:p>
    <w:p>
      <w:pPr>
        <w:ind w:left="660" w:right="260"/>
        <w:spacing w:after="0" w:line="253" w:lineRule="auto"/>
        <w:rPr>
          <w:sz w:val="20"/>
          <w:szCs w:val="20"/>
          <w:color w:val="auto"/>
        </w:rPr>
      </w:pPr>
      <w:r>
        <w:rPr>
          <w:rFonts w:ascii="Calibri" w:cs="Calibri" w:eastAsia="Calibri" w:hAnsi="Calibri"/>
          <w:sz w:val="22"/>
          <w:szCs w:val="22"/>
          <w:color w:val="auto"/>
        </w:rPr>
        <w:t>This Policy’s restricton on trading does not apply to your purchases of Company stock in the Employee Stock Purchase Plan (“ESPP”) resultng from your periodic contributon of money to the ESPP pursuant to a payroll deducton electon made at a tme when you are permited to trade under this Policy. However, this Policy will apply to any: (a) electon to partcipate in the ESPP for an enrollment period; (b) increase or decrease in your amount of periodic contributons to the ESPP; and (c) sales of Company stock pursuant to the ESPP.</w:t>
      </w:r>
    </w:p>
    <w:p>
      <w:pPr>
        <w:spacing w:after="0" w:line="259"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595959"/>
        </w:rPr>
        <w:t>Pre-Clearance</w:t>
      </w:r>
    </w:p>
    <w:p>
      <w:pPr>
        <w:spacing w:after="0" w:line="17" w:lineRule="exact"/>
        <w:rPr>
          <w:sz w:val="20"/>
          <w:szCs w:val="20"/>
          <w:color w:val="auto"/>
        </w:rPr>
      </w:pPr>
    </w:p>
    <w:p>
      <w:pPr>
        <w:spacing w:after="0"/>
        <w:rPr>
          <w:sz w:val="20"/>
          <w:szCs w:val="20"/>
          <w:color w:val="auto"/>
        </w:rPr>
      </w:pPr>
      <w:r>
        <w:rPr>
          <w:rFonts w:ascii="Calibri" w:cs="Calibri" w:eastAsia="Calibri" w:hAnsi="Calibri"/>
          <w:sz w:val="22"/>
          <w:szCs w:val="22"/>
          <w:color w:val="auto"/>
        </w:rPr>
        <w:t>Additonal procedures apply to transactons by all (i) directors, (ii) executve ofcers, (iii) executve leadership team members,</w:t>
      </w:r>
    </w:p>
    <w:p>
      <w:pPr>
        <w:spacing w:after="0" w:line="25" w:lineRule="exact"/>
        <w:rPr>
          <w:sz w:val="20"/>
          <w:szCs w:val="20"/>
          <w:color w:val="auto"/>
        </w:rPr>
      </w:pPr>
    </w:p>
    <w:p>
      <w:pPr>
        <w:jc w:val="both"/>
        <w:ind w:firstLine="8"/>
        <w:spacing w:after="0" w:line="254" w:lineRule="auto"/>
        <w:tabs>
          <w:tab w:leader="none" w:pos="327" w:val="left"/>
        </w:tabs>
        <w:numPr>
          <w:ilvl w:val="0"/>
          <w:numId w:val="51"/>
        </w:numPr>
        <w:rPr>
          <w:rFonts w:ascii="Calibri" w:cs="Calibri" w:eastAsia="Calibri" w:hAnsi="Calibri"/>
          <w:sz w:val="22"/>
          <w:szCs w:val="22"/>
          <w:color w:val="auto"/>
        </w:rPr>
      </w:pPr>
      <w:r>
        <w:rPr>
          <w:rFonts w:ascii="Calibri" w:cs="Calibri" w:eastAsia="Calibri" w:hAnsi="Calibri"/>
          <w:sz w:val="22"/>
          <w:szCs w:val="22"/>
          <w:color w:val="auto"/>
        </w:rPr>
        <w:t>senior leadership team members, (v) senior corporate and divisional fnance employees, (vi) employees on the legal and investor relatons teams, and (vii) other persons who are informed by the Company’s Chief Executve Ofcer, Chief Financial Ofcer or Chief Legal Ofcer that they are subject to this Policy. For additonal informaton on these procedures, please refer to the Company’s Pre-Clearance Policy.</w:t>
      </w:r>
    </w:p>
    <w:p>
      <w:pPr>
        <w:sectPr>
          <w:pgSz w:w="11900" w:h="16838" w:orient="portrait"/>
          <w:cols w:equalWidth="0" w:num="1">
            <w:col w:w="11100"/>
          </w:cols>
          <w:pgMar w:left="320" w:top="1440" w:right="479" w:bottom="1440" w:gutter="0" w:footer="0" w:header="0"/>
        </w:sectPr>
      </w:pPr>
    </w:p>
    <w:bookmarkStart w:id="94" w:name="page95"/>
    <w:bookmarkEnd w:id="94"/>
    <w:p>
      <w:pPr>
        <w:spacing w:after="0"/>
        <w:rPr>
          <w:sz w:val="20"/>
          <w:szCs w:val="20"/>
          <w:color w:val="auto"/>
        </w:rPr>
      </w:pPr>
      <w:r>
        <w:rPr>
          <w:rFonts w:ascii="Calibri" w:cs="Calibri" w:eastAsia="Calibri" w:hAnsi="Calibri"/>
          <w:sz w:val="22"/>
          <w:szCs w:val="22"/>
          <w:b w:val="1"/>
          <w:bCs w:val="1"/>
          <w:color w:val="595959"/>
        </w:rPr>
        <w:t>Hedging Transactons</w:t>
      </w:r>
    </w:p>
    <w:p>
      <w:pPr>
        <w:spacing w:after="0" w:line="26" w:lineRule="exact"/>
        <w:rPr>
          <w:sz w:val="20"/>
          <w:szCs w:val="20"/>
          <w:color w:val="auto"/>
        </w:rPr>
      </w:pPr>
    </w:p>
    <w:p>
      <w:pPr>
        <w:spacing w:after="0" w:line="270" w:lineRule="auto"/>
        <w:rPr>
          <w:sz w:val="20"/>
          <w:szCs w:val="20"/>
          <w:color w:val="auto"/>
        </w:rPr>
      </w:pPr>
      <w:r>
        <w:rPr>
          <w:rFonts w:ascii="Calibri" w:cs="Calibri" w:eastAsia="Calibri" w:hAnsi="Calibri"/>
          <w:sz w:val="21"/>
          <w:szCs w:val="21"/>
          <w:color w:val="auto"/>
        </w:rPr>
        <w:t>Certain forms of hedging, such as zero-cost collars and forward sale contracts, allow a stockholder to lock in much of the value of his or her stock holdings, ofen in exchange for all or part of the potental for appreciaton in the stock. These transactons allow a person to contnue to own the covered securites but without the full risks and rewards of ownership. When that occurs, he or she may no longer have the same objectves as the Company’s other shareholders. All Covered Persons are prohibited from engaging in any hedging transactons involving Company securites benefcially owned by them (including equity securites held directly or indirectly and granted by the Company as part of director or employee compensaton).</w:t>
      </w:r>
    </w:p>
    <w:p>
      <w:pPr>
        <w:spacing w:after="0" w:line="20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595959"/>
        </w:rPr>
        <w:t>Speculatve Transactons</w:t>
      </w:r>
    </w:p>
    <w:p>
      <w:pPr>
        <w:spacing w:after="0" w:line="28" w:lineRule="exact"/>
        <w:rPr>
          <w:sz w:val="20"/>
          <w:szCs w:val="20"/>
          <w:color w:val="auto"/>
        </w:rPr>
      </w:pPr>
    </w:p>
    <w:p>
      <w:pPr>
        <w:ind w:right="780"/>
        <w:spacing w:after="0" w:line="243" w:lineRule="auto"/>
        <w:rPr>
          <w:sz w:val="20"/>
          <w:szCs w:val="20"/>
          <w:color w:val="auto"/>
        </w:rPr>
      </w:pPr>
      <w:r>
        <w:rPr>
          <w:rFonts w:ascii="Calibri" w:cs="Calibri" w:eastAsia="Calibri" w:hAnsi="Calibri"/>
          <w:sz w:val="22"/>
          <w:szCs w:val="22"/>
          <w:color w:val="auto"/>
        </w:rPr>
        <w:t>The Company considers it inappropriate for any Covered Person to engage in speculatve transactons in the Company’s securites, including:</w:t>
      </w:r>
    </w:p>
    <w:p>
      <w:pPr>
        <w:spacing w:after="0" w:line="240" w:lineRule="exact"/>
        <w:rPr>
          <w:sz w:val="20"/>
          <w:szCs w:val="20"/>
          <w:color w:val="auto"/>
        </w:rPr>
      </w:pPr>
    </w:p>
    <w:p>
      <w:pPr>
        <w:ind w:left="660"/>
        <w:spacing w:after="0"/>
        <w:rPr>
          <w:sz w:val="20"/>
          <w:szCs w:val="20"/>
          <w:color w:val="auto"/>
        </w:rPr>
      </w:pPr>
      <w:r>
        <w:rPr>
          <w:rFonts w:ascii="Calibri" w:cs="Calibri" w:eastAsia="Calibri" w:hAnsi="Calibri"/>
          <w:sz w:val="22"/>
          <w:szCs w:val="22"/>
          <w:b w:val="1"/>
          <w:bCs w:val="1"/>
          <w:color w:val="595959"/>
        </w:rPr>
        <w:t>Short Sales</w:t>
      </w:r>
    </w:p>
    <w:p>
      <w:pPr>
        <w:spacing w:after="0" w:line="41" w:lineRule="exact"/>
        <w:rPr>
          <w:sz w:val="20"/>
          <w:szCs w:val="20"/>
          <w:color w:val="auto"/>
        </w:rPr>
      </w:pPr>
    </w:p>
    <w:p>
      <w:pPr>
        <w:jc w:val="both"/>
        <w:ind w:left="660" w:right="500"/>
        <w:spacing w:after="0" w:line="254" w:lineRule="auto"/>
        <w:rPr>
          <w:sz w:val="20"/>
          <w:szCs w:val="20"/>
          <w:color w:val="auto"/>
        </w:rPr>
      </w:pPr>
      <w:r>
        <w:rPr>
          <w:rFonts w:ascii="Calibri" w:cs="Calibri" w:eastAsia="Calibri" w:hAnsi="Calibri"/>
          <w:sz w:val="22"/>
          <w:szCs w:val="22"/>
          <w:color w:val="auto"/>
        </w:rPr>
        <w:t>A short sale is the sale of a security that one does not own but has borrowed in antcipaton of making a proft by paying for it afer its price has fallen. Short sales of the Company’s securites portray an expectaton on the part of the seller that the securites will decline in value and could signal to the market that the seller has no confdence in the Company or its short-term prospects. For these reasons, short sales of the Company’s securites are prohibited by this Policy.</w:t>
      </w:r>
    </w:p>
    <w:p>
      <w:pPr>
        <w:spacing w:after="0" w:line="186" w:lineRule="exact"/>
        <w:rPr>
          <w:sz w:val="20"/>
          <w:szCs w:val="20"/>
          <w:color w:val="auto"/>
        </w:rPr>
      </w:pPr>
    </w:p>
    <w:p>
      <w:pPr>
        <w:ind w:left="660"/>
        <w:spacing w:after="0"/>
        <w:rPr>
          <w:sz w:val="20"/>
          <w:szCs w:val="20"/>
          <w:color w:val="auto"/>
        </w:rPr>
      </w:pPr>
      <w:r>
        <w:rPr>
          <w:rFonts w:ascii="Calibri" w:cs="Calibri" w:eastAsia="Calibri" w:hAnsi="Calibri"/>
          <w:sz w:val="22"/>
          <w:szCs w:val="22"/>
          <w:b w:val="1"/>
          <w:bCs w:val="1"/>
          <w:color w:val="595959"/>
        </w:rPr>
        <w:t>Publicly Traded Optons</w:t>
      </w:r>
    </w:p>
    <w:p>
      <w:pPr>
        <w:spacing w:after="0" w:line="41" w:lineRule="exact"/>
        <w:rPr>
          <w:sz w:val="20"/>
          <w:szCs w:val="20"/>
          <w:color w:val="auto"/>
        </w:rPr>
      </w:pPr>
    </w:p>
    <w:p>
      <w:pPr>
        <w:ind w:left="660" w:right="640"/>
        <w:spacing w:after="0" w:line="254" w:lineRule="auto"/>
        <w:rPr>
          <w:sz w:val="20"/>
          <w:szCs w:val="20"/>
          <w:color w:val="auto"/>
        </w:rPr>
      </w:pPr>
      <w:r>
        <w:rPr>
          <w:rFonts w:ascii="Calibri" w:cs="Calibri" w:eastAsia="Calibri" w:hAnsi="Calibri"/>
          <w:sz w:val="22"/>
          <w:szCs w:val="22"/>
          <w:color w:val="auto"/>
        </w:rPr>
        <w:t>A transacton in optons is, in efect, a bet on the short-term movement of the Company’s stock and, therefore, creates the appearance that a Covered Person is trading based on inside informaton. Transactons in optons also may focus the person’s atenton on short-term performance rather than the Company’s long-term objectves. Accordingly, transactons in puts, calls or other derivatve securites, on an exchange or in any other organized market, are prohibited by this Policy.</w:t>
      </w:r>
    </w:p>
    <w:p>
      <w:pPr>
        <w:spacing w:after="0" w:line="188" w:lineRule="exact"/>
        <w:rPr>
          <w:sz w:val="20"/>
          <w:szCs w:val="20"/>
          <w:color w:val="auto"/>
        </w:rPr>
      </w:pPr>
    </w:p>
    <w:p>
      <w:pPr>
        <w:ind w:left="660"/>
        <w:spacing w:after="0"/>
        <w:rPr>
          <w:sz w:val="20"/>
          <w:szCs w:val="20"/>
          <w:color w:val="auto"/>
        </w:rPr>
      </w:pPr>
      <w:r>
        <w:rPr>
          <w:rFonts w:ascii="Calibri" w:cs="Calibri" w:eastAsia="Calibri" w:hAnsi="Calibri"/>
          <w:sz w:val="22"/>
          <w:szCs w:val="22"/>
          <w:b w:val="1"/>
          <w:bCs w:val="1"/>
          <w:color w:val="595959"/>
        </w:rPr>
        <w:t>Margin Accounts and Pledges</w:t>
      </w:r>
    </w:p>
    <w:p>
      <w:pPr>
        <w:spacing w:after="0" w:line="39" w:lineRule="exact"/>
        <w:rPr>
          <w:sz w:val="20"/>
          <w:szCs w:val="20"/>
          <w:color w:val="auto"/>
        </w:rPr>
      </w:pPr>
    </w:p>
    <w:p>
      <w:pPr>
        <w:ind w:left="660" w:right="280"/>
        <w:spacing w:after="0" w:line="253" w:lineRule="auto"/>
        <w:rPr>
          <w:sz w:val="20"/>
          <w:szCs w:val="20"/>
          <w:color w:val="auto"/>
        </w:rPr>
      </w:pPr>
      <w:r>
        <w:rPr>
          <w:rFonts w:ascii="Calibri" w:cs="Calibri" w:eastAsia="Calibri" w:hAnsi="Calibri"/>
          <w:sz w:val="22"/>
          <w:szCs w:val="22"/>
          <w:color w:val="auto"/>
        </w:rPr>
        <w:t>Securites that are held in a margin account as collateral for a margin loan may be sold by the broker without the customer’s consent if the customer fails to meet a margin call. Similarly, securites that are pledged (or hypothecated) as collateral for a loan may be sold in foreclosure if the borrower defaults on the loan. Because a margin sale or foreclosure sale may occur at a tme when the pledgor is aware of material, non-public informaton or otherwise is not permited to trade in Company securites, all Covered Persons are prohibited from holding Company securites in a margin account or otherwise pledging Company securites as collateral for a loan.</w:t>
      </w:r>
    </w:p>
    <w:p>
      <w:pPr>
        <w:sectPr>
          <w:pgSz w:w="11900" w:h="16838" w:orient="portrait"/>
          <w:cols w:equalWidth="0" w:num="1">
            <w:col w:w="11200"/>
          </w:cols>
          <w:pgMar w:left="320" w:top="1410" w:right="379" w:bottom="1440" w:gutter="0" w:footer="0" w:header="0"/>
        </w:sectPr>
      </w:pPr>
    </w:p>
    <w:bookmarkStart w:id="95" w:name="page96"/>
    <w:bookmarkEnd w:id="95"/>
    <w:p>
      <w:pPr>
        <w:spacing w:after="0" w:line="157" w:lineRule="exact"/>
        <w:rPr>
          <w:sz w:val="20"/>
          <w:szCs w:val="20"/>
          <w:color w:val="auto"/>
        </w:rPr>
      </w:pPr>
    </w:p>
    <w:p>
      <w:pPr>
        <w:ind w:left="660"/>
        <w:spacing w:after="0"/>
        <w:rPr>
          <w:sz w:val="20"/>
          <w:szCs w:val="20"/>
          <w:color w:val="auto"/>
        </w:rPr>
      </w:pPr>
      <w:r>
        <w:rPr>
          <w:rFonts w:ascii="Calibri" w:cs="Calibri" w:eastAsia="Calibri" w:hAnsi="Calibri"/>
          <w:sz w:val="22"/>
          <w:szCs w:val="22"/>
          <w:b w:val="1"/>
          <w:bCs w:val="1"/>
          <w:color w:val="595959"/>
        </w:rPr>
        <w:t>Standing and Limit Orders</w:t>
      </w:r>
    </w:p>
    <w:p>
      <w:pPr>
        <w:spacing w:after="0" w:line="41" w:lineRule="exact"/>
        <w:rPr>
          <w:sz w:val="20"/>
          <w:szCs w:val="20"/>
          <w:color w:val="auto"/>
        </w:rPr>
      </w:pPr>
    </w:p>
    <w:p>
      <w:pPr>
        <w:ind w:left="660" w:right="160"/>
        <w:spacing w:after="0" w:line="255" w:lineRule="auto"/>
        <w:rPr>
          <w:sz w:val="20"/>
          <w:szCs w:val="20"/>
          <w:color w:val="auto"/>
        </w:rPr>
      </w:pPr>
      <w:r>
        <w:rPr>
          <w:rFonts w:ascii="Calibri" w:cs="Calibri" w:eastAsia="Calibri" w:hAnsi="Calibri"/>
          <w:sz w:val="22"/>
          <w:szCs w:val="22"/>
          <w:color w:val="auto"/>
        </w:rPr>
        <w:t>A limit order is a specifc order that sets a specifc period of tme in which securites may be bought at or below a specifc maximum price or to sell securites above or at a specifc minimum price. Similarly, there is no control over the tming of purchases or sales that result from standing instructons to a broker, and as a result the broker could execute a transacton when a Covered Person is aware of material, non-public informaton. The Chief Financial Ofcer or Chief Legal Ofcer must approve any transacton using a standing or limit order for the Company’s securites. The Chief Financial Ofcer or Chief Legal Ofcer must review the efectve period and tming of any standing or limit order in advance of placing such an order. In general, standing or limit orders that begin before, or extend afer, the window periods discussed above will not be approved. Despite prior approval, a limit order must be canceled if the person later learns of material, non-public informaton before the executon of the trade.</w:t>
      </w:r>
    </w:p>
    <w:p>
      <w:pPr>
        <w:spacing w:after="0" w:line="24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595959"/>
        </w:rPr>
        <w:t>Post-Terminaton Transactons</w:t>
      </w:r>
    </w:p>
    <w:p>
      <w:pPr>
        <w:spacing w:after="0" w:line="28" w:lineRule="exact"/>
        <w:rPr>
          <w:sz w:val="20"/>
          <w:szCs w:val="20"/>
          <w:color w:val="auto"/>
        </w:rPr>
      </w:pPr>
    </w:p>
    <w:p>
      <w:pPr>
        <w:ind w:right="180"/>
        <w:spacing w:after="0" w:line="253" w:lineRule="auto"/>
        <w:rPr>
          <w:sz w:val="20"/>
          <w:szCs w:val="20"/>
          <w:color w:val="auto"/>
        </w:rPr>
      </w:pPr>
      <w:r>
        <w:rPr>
          <w:rFonts w:ascii="Calibri" w:cs="Calibri" w:eastAsia="Calibri" w:hAnsi="Calibri"/>
          <w:sz w:val="22"/>
          <w:szCs w:val="22"/>
          <w:color w:val="auto"/>
        </w:rPr>
        <w:t>This Policy contnues to apply to transactons in Company securites even afer employment or service with the Company has ended untl the expiraton of any applicable blackout period in efect at the tme of terminaton and the Covered Person is no longer aware of material, non-public informaton about the Company. If a Covered Person is aware of material, non-public informaton when his or her employment or service terminates, the securites laws stll prohibit trading in the Company’s securites untl that informaton has become public or is no longer material.</w:t>
      </w:r>
    </w:p>
    <w:p>
      <w:pPr>
        <w:spacing w:after="0" w:line="22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595959"/>
        </w:rPr>
        <w:t>Company Transactons</w:t>
      </w:r>
    </w:p>
    <w:p>
      <w:pPr>
        <w:jc w:val="both"/>
        <w:spacing w:after="0" w:line="228" w:lineRule="auto"/>
        <w:rPr>
          <w:sz w:val="20"/>
          <w:szCs w:val="20"/>
          <w:color w:val="auto"/>
        </w:rPr>
      </w:pPr>
      <w:r>
        <w:rPr>
          <w:rFonts w:ascii="Calibri" w:cs="Calibri" w:eastAsia="Calibri" w:hAnsi="Calibri"/>
          <w:sz w:val="22"/>
          <w:szCs w:val="22"/>
          <w:color w:val="auto"/>
        </w:rPr>
        <w:t>From tme to tme, the Company may engage in transactons in its own securites. It is the Company’s policy to comply with all applicable federal and state securites laws and other applicable state laws (including obtaining appropriate approvals from the Board of Directors or appropriate Board commitee, if required) when engaging in transactons in Company securites.</w:t>
      </w:r>
    </w:p>
    <w:p>
      <w:pPr>
        <w:spacing w:after="0" w:line="206"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595959"/>
        </w:rPr>
        <w:t>Company Assistance</w:t>
      </w:r>
    </w:p>
    <w:p>
      <w:pPr>
        <w:spacing w:after="0" w:line="14" w:lineRule="exact"/>
        <w:rPr>
          <w:sz w:val="20"/>
          <w:szCs w:val="20"/>
          <w:color w:val="auto"/>
        </w:rPr>
      </w:pPr>
    </w:p>
    <w:p>
      <w:pPr>
        <w:spacing w:after="0" w:line="229" w:lineRule="auto"/>
        <w:rPr>
          <w:sz w:val="20"/>
          <w:szCs w:val="20"/>
          <w:color w:val="auto"/>
        </w:rPr>
      </w:pPr>
      <w:r>
        <w:rPr>
          <w:rFonts w:ascii="Calibri" w:cs="Calibri" w:eastAsia="Calibri" w:hAnsi="Calibri"/>
          <w:sz w:val="22"/>
          <w:szCs w:val="22"/>
          <w:color w:val="auto"/>
        </w:rPr>
        <w:t>Any questons regarding this Policy or its applicaton to any proposed transacton may be directed to the Company’s Chief Legal Ofcer. Ultmately, the responsibility for adhering to this Policy and avoiding unlawful transactons rests with the individual Covered Persons or other related partes that are subject to this Policy.</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alibri" w:cs="Calibri" w:eastAsia="Calibri" w:hAnsi="Calibri"/>
          <w:sz w:val="22"/>
          <w:szCs w:val="22"/>
          <w:color w:val="auto"/>
        </w:rPr>
        <w:t>Last amended: May 1, 2024</w:t>
      </w:r>
    </w:p>
    <w:p>
      <w:pPr>
        <w:sectPr>
          <w:pgSz w:w="11900" w:h="16838" w:orient="portrait"/>
          <w:cols w:equalWidth="0" w:num="1">
            <w:col w:w="11100"/>
          </w:cols>
          <w:pgMar w:left="320" w:top="1440" w:right="479" w:bottom="1440" w:gutter="0" w:footer="0" w:header="0"/>
        </w:sectPr>
      </w:pPr>
    </w:p>
    <w:bookmarkStart w:id="96" w:name="page97"/>
    <w:bookmarkEnd w:id="96"/>
    <w:p>
      <w:pPr>
        <w:jc w:val="center"/>
        <w:ind w:right="-339"/>
        <w:spacing w:after="0"/>
        <w:rPr>
          <w:sz w:val="20"/>
          <w:szCs w:val="20"/>
          <w:color w:val="auto"/>
        </w:rPr>
      </w:pPr>
      <w:r>
        <w:rPr>
          <w:rFonts w:ascii="Calibri" w:cs="Calibri" w:eastAsia="Calibri" w:hAnsi="Calibri"/>
          <w:sz w:val="23"/>
          <w:szCs w:val="23"/>
          <w:b w:val="1"/>
          <w:bCs w:val="1"/>
          <w:color w:val="595959"/>
        </w:rPr>
        <w:t>Insider Trading Policy Certfcaton</w:t>
      </w:r>
    </w:p>
    <w:p>
      <w:pPr>
        <w:spacing w:after="0" w:line="238" w:lineRule="exact"/>
        <w:rPr>
          <w:sz w:val="20"/>
          <w:szCs w:val="20"/>
          <w:color w:val="auto"/>
        </w:rPr>
      </w:pPr>
    </w:p>
    <w:p>
      <w:pPr>
        <w:spacing w:after="0" w:line="243" w:lineRule="auto"/>
        <w:rPr>
          <w:sz w:val="20"/>
          <w:szCs w:val="20"/>
          <w:color w:val="auto"/>
        </w:rPr>
      </w:pPr>
      <w:r>
        <w:rPr>
          <w:rFonts w:ascii="Calibri" w:cs="Calibri" w:eastAsia="Calibri" w:hAnsi="Calibri"/>
          <w:sz w:val="22"/>
          <w:szCs w:val="22"/>
          <w:color w:val="auto"/>
        </w:rPr>
        <w:t>I certfy that I have read and will comply with the Wolverine World Wide, Inc. Insider Trading Policy as amended from tme to tme. I understand that the Company’s Chief Legal Ofcer is available to answer any questons I have regarding this Policy.</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600"/>
        <w:spacing w:after="0"/>
        <w:tabs>
          <w:tab w:leader="none" w:pos="5700" w:val="left"/>
        </w:tabs>
        <w:rPr>
          <w:sz w:val="20"/>
          <w:szCs w:val="20"/>
          <w:color w:val="auto"/>
        </w:rPr>
      </w:pPr>
      <w:r>
        <w:rPr>
          <w:rFonts w:ascii="Calibri" w:cs="Calibri" w:eastAsia="Calibri" w:hAnsi="Calibri"/>
          <w:sz w:val="22"/>
          <w:szCs w:val="22"/>
          <w:color w:val="auto"/>
        </w:rPr>
        <w:t>Signature</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________________________</w:t>
      </w:r>
    </w:p>
    <w:p>
      <w:pPr>
        <w:spacing w:after="0" w:line="200" w:lineRule="exact"/>
        <w:rPr>
          <w:sz w:val="20"/>
          <w:szCs w:val="20"/>
          <w:color w:val="auto"/>
        </w:rPr>
      </w:pPr>
    </w:p>
    <w:p>
      <w:pPr>
        <w:spacing w:after="0" w:line="328" w:lineRule="exact"/>
        <w:rPr>
          <w:sz w:val="20"/>
          <w:szCs w:val="20"/>
          <w:color w:val="auto"/>
        </w:rPr>
      </w:pPr>
    </w:p>
    <w:p>
      <w:pPr>
        <w:ind w:left="4600"/>
        <w:spacing w:after="0"/>
        <w:tabs>
          <w:tab w:leader="none" w:pos="5840" w:val="left"/>
        </w:tabs>
        <w:rPr>
          <w:sz w:val="20"/>
          <w:szCs w:val="20"/>
          <w:color w:val="auto"/>
        </w:rPr>
      </w:pPr>
      <w:r>
        <w:rPr>
          <w:rFonts w:ascii="Calibri" w:cs="Calibri" w:eastAsia="Calibri" w:hAnsi="Calibri"/>
          <w:sz w:val="22"/>
          <w:szCs w:val="22"/>
          <w:color w:val="auto"/>
        </w:rPr>
        <w:t>Print name</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________________________</w:t>
      </w:r>
    </w:p>
    <w:p>
      <w:pPr>
        <w:spacing w:after="0" w:line="200" w:lineRule="exact"/>
        <w:rPr>
          <w:sz w:val="20"/>
          <w:szCs w:val="20"/>
          <w:color w:val="auto"/>
        </w:rPr>
      </w:pPr>
    </w:p>
    <w:p>
      <w:pPr>
        <w:spacing w:after="0" w:line="341" w:lineRule="exact"/>
        <w:rPr>
          <w:sz w:val="20"/>
          <w:szCs w:val="20"/>
          <w:color w:val="auto"/>
        </w:rPr>
      </w:pPr>
    </w:p>
    <w:p>
      <w:pPr>
        <w:ind w:left="4600"/>
        <w:spacing w:after="0"/>
        <w:tabs>
          <w:tab w:leader="none" w:pos="5500" w:val="left"/>
        </w:tabs>
        <w:rPr>
          <w:sz w:val="20"/>
          <w:szCs w:val="20"/>
          <w:color w:val="auto"/>
        </w:rPr>
      </w:pPr>
      <w:r>
        <w:rPr>
          <w:rFonts w:ascii="Calibri" w:cs="Calibri" w:eastAsia="Calibri" w:hAnsi="Calibri"/>
          <w:sz w:val="22"/>
          <w:szCs w:val="22"/>
          <w:color w:val="auto"/>
        </w:rPr>
        <w:t>Date:</w:t>
      </w:r>
      <w:r>
        <w:rPr>
          <w:sz w:val="20"/>
          <w:szCs w:val="20"/>
          <w:color w:val="auto"/>
        </w:rPr>
        <w:tab/>
      </w:r>
      <w:r>
        <w:rPr>
          <w:rFonts w:ascii="Times New Roman" w:cs="Times New Roman" w:eastAsia="Times New Roman" w:hAnsi="Times New Roman"/>
          <w:sz w:val="22"/>
          <w:szCs w:val="22"/>
          <w:color w:val="auto"/>
        </w:rPr>
        <w:t>________________________</w:t>
      </w:r>
    </w:p>
    <w:p>
      <w:pPr>
        <w:sectPr>
          <w:pgSz w:w="11900" w:h="16838" w:orient="portrait"/>
          <w:cols w:equalWidth="0" w:num="1">
            <w:col w:w="10920"/>
          </w:cols>
          <w:pgMar w:left="320" w:top="1429" w:right="659" w:bottom="1440" w:gutter="0" w:footer="0" w:header="0"/>
        </w:sectPr>
      </w:pPr>
    </w:p>
    <w:bookmarkStart w:id="97" w:name="page98"/>
    <w:bookmarkEnd w:id="97"/>
    <w:p>
      <w:pPr>
        <w:ind w:left="10420"/>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SUBSIDIARIES OF THE REGISTRANT</w:t>
      </w:r>
    </w:p>
    <w:p>
      <w:pPr>
        <w:sectPr>
          <w:pgSz w:w="11900" w:h="16838" w:orient="portrait"/>
          <w:cols w:equalWidth="0" w:num="1">
            <w:col w:w="11220"/>
          </w:cols>
          <w:pgMar w:left="340" w:top="887" w:right="339" w:bottom="1440" w:gutter="0" w:footer="0" w:header="0"/>
        </w:sectPr>
      </w:pPr>
    </w:p>
    <w:p>
      <w:pPr>
        <w:spacing w:after="0" w:line="15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State or Country of Incorporation or Organization</w:t>
      </w:r>
    </w:p>
    <w:p>
      <w:pPr>
        <w:spacing w:after="0" w:line="48" w:lineRule="exact"/>
        <w:rPr>
          <w:sz w:val="20"/>
          <w:szCs w:val="20"/>
          <w:color w:val="auto"/>
        </w:rPr>
      </w:pPr>
    </w:p>
    <w:p>
      <w:pPr>
        <w:sectPr>
          <w:pgSz w:w="11900" w:h="16838" w:orient="portrait"/>
          <w:cols w:equalWidth="0" w:num="2">
            <w:col w:w="7220" w:space="720"/>
            <w:col w:w="3280"/>
          </w:cols>
          <w:pgMar w:left="340" w:top="88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Gemini Asia Merrell,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Gemini Asia Saucony,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Gemini Intellectual Property, LLC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Gemini Operations B.V.</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Goldstar Sourcing HK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Hush Puppies Retail,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Netherlands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Michigan</w:t>
      </w:r>
    </w:p>
    <w:p>
      <w:pPr>
        <w:spacing w:after="0" w:line="23" w:lineRule="exact"/>
        <w:rPr>
          <w:sz w:val="20"/>
          <w:szCs w:val="20"/>
          <w:color w:val="auto"/>
        </w:rPr>
      </w:pPr>
    </w:p>
    <w:p>
      <w:pPr>
        <w:sectPr>
          <w:pgSz w:w="11900" w:h="16838" w:orient="portrait"/>
          <w:cols w:equalWidth="0" w:num="2">
            <w:col w:w="7080" w:space="720"/>
            <w:col w:w="3420"/>
          </w:cols>
          <w:pgMar w:left="340" w:top="887" w:right="33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7"/>
          <w:szCs w:val="17"/>
          <w:color w:val="auto"/>
        </w:rPr>
        <w:t>d/b/a Merrell</w:t>
      </w:r>
    </w:p>
    <w:p>
      <w:pPr>
        <w:sectPr>
          <w:pgSz w:w="11900" w:h="16838" w:orient="portrait"/>
          <w:cols w:equalWidth="0" w:num="1">
            <w:col w:w="11220"/>
          </w:cols>
          <w:pgMar w:left="340" w:top="887" w:right="3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Kedxit,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Krause Cayman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Krause Global B.V.</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Krause Leathers (Thailand)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Lady of Leisure Holdings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Lifestyle and Heritage Brands of Mexico, S. de R.L. de C.V.</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Lifestyle and Heritage Servicios S. de R.L. de C.V.</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LifeStyle Brands (BVI)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LifeStyle Brands (HK)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LifeStyle Brands (Shanghai)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Rockford ARS,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Rockford Global B.V.</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Rockford Wolverine HK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Saucony IP Holdings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Saucony,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Spartan Shoe Company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SR/Ecom,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SRL,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Stride Rite Children’s Group, LLC</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Massachusetts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Netherlands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Thailand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England &amp; Wales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British Virgin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People’s Republic of China</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Netherlands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Massachusetts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Massachusetts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Massachusetts</w:t>
      </w:r>
    </w:p>
    <w:p>
      <w:pPr>
        <w:spacing w:after="0" w:line="23" w:lineRule="exact"/>
        <w:rPr>
          <w:sz w:val="20"/>
          <w:szCs w:val="20"/>
          <w:color w:val="auto"/>
        </w:rPr>
      </w:pPr>
    </w:p>
    <w:p>
      <w:pPr>
        <w:sectPr>
          <w:pgSz w:w="11900" w:h="16838" w:orient="portrait"/>
          <w:cols w:equalWidth="0" w:num="2">
            <w:col w:w="7080" w:space="720"/>
            <w:col w:w="3420"/>
          </w:cols>
          <w:pgMar w:left="340" w:top="887" w:right="339" w:bottom="1440" w:gutter="0" w:footer="0" w:header="0"/>
          <w:type w:val="continuous"/>
        </w:sectPr>
      </w:pPr>
    </w:p>
    <w:p>
      <w:pPr>
        <w:ind w:left="420"/>
        <w:spacing w:after="0"/>
        <w:tabs>
          <w:tab w:leader="none" w:pos="980" w:val="left"/>
        </w:tabs>
        <w:rPr>
          <w:sz w:val="20"/>
          <w:szCs w:val="20"/>
          <w:color w:val="auto"/>
        </w:rPr>
      </w:pPr>
      <w:r>
        <w:rPr>
          <w:rFonts w:ascii="Times New Roman" w:cs="Times New Roman" w:eastAsia="Times New Roman" w:hAnsi="Times New Roman"/>
          <w:sz w:val="18"/>
          <w:szCs w:val="18"/>
          <w:color w:val="auto"/>
        </w:rPr>
        <w:t>d/b/a</w:t>
        <w:tab/>
        <w:t>Merrell</w:t>
      </w:r>
    </w:p>
    <w:p>
      <w:pPr>
        <w:spacing w:after="0" w:line="2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Rockford Footwear Depot</w:t>
      </w:r>
    </w:p>
    <w:p>
      <w:pPr>
        <w:spacing w:after="0" w:line="3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Sperry Since 1935</w:t>
      </w:r>
    </w:p>
    <w:p>
      <w:pPr>
        <w:spacing w:after="0" w:line="2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Merrell Footwear</w:t>
      </w:r>
    </w:p>
    <w:p>
      <w:pPr>
        <w:spacing w:after="0" w:line="2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Online Shoes</w:t>
      </w:r>
    </w:p>
    <w:p>
      <w:pPr>
        <w:sectPr>
          <w:pgSz w:w="11900" w:h="16838" w:orient="portrait"/>
          <w:cols w:equalWidth="0" w:num="1">
            <w:col w:w="11220"/>
          </w:cols>
          <w:pgMar w:left="340" w:top="887" w:right="33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Stride Rite International Corp.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Stride Rite International Services Brazil Ltda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Sweaty Betty Ireland Digital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Sweaty Betty Ireland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Sweaty Betty Ireland Retail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Sweaty Betty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Sweaty Betty (Shanghai) Commercial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Sweaty Betty Trading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Sweaty Betty USA Digital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Sweaty Betty USA TopCo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Sweaty Betty USA Wholesale LLC</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Massachusetts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Brazil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Republic of Ireland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Republic of Ireland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Republic of Ireland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England &amp; Wales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People’s Republic of China</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England &amp; Wales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00" w:lineRule="exact"/>
        <w:rPr>
          <w:sz w:val="20"/>
          <w:szCs w:val="20"/>
          <w:color w:val="auto"/>
        </w:rPr>
      </w:pPr>
    </w:p>
    <w:p>
      <w:pPr>
        <w:sectPr>
          <w:pgSz w:w="11900" w:h="16838" w:orient="portrait"/>
          <w:cols w:equalWidth="0" w:num="2">
            <w:col w:w="7080" w:space="720"/>
            <w:col w:w="3420"/>
          </w:cols>
          <w:pgMar w:left="340" w:top="887" w:right="339" w:bottom="1440" w:gutter="0" w:footer="0" w:header="0"/>
          <w:type w:val="continuous"/>
        </w:sect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20"/>
          </w:cols>
          <w:pgMar w:left="340" w:top="887" w:right="339" w:bottom="1440" w:gutter="0" w:footer="0" w:header="0"/>
          <w:type w:val="continuous"/>
        </w:sectPr>
      </w:pPr>
    </w:p>
    <w:bookmarkStart w:id="98" w:name="page99"/>
    <w:bookmarkEnd w:id="98"/>
    <w:p>
      <w:pPr>
        <w:ind w:left="344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State or Country of Incorporation or Organization</w:t>
      </w:r>
    </w:p>
    <w:p>
      <w:pPr>
        <w:spacing w:after="0" w:line="48" w:lineRule="exact"/>
        <w:rPr>
          <w:sz w:val="20"/>
          <w:szCs w:val="20"/>
          <w:color w:val="auto"/>
        </w:rPr>
      </w:pPr>
    </w:p>
    <w:p>
      <w:pPr>
        <w:sectPr>
          <w:pgSz w:w="11900" w:h="16838" w:orient="portrait"/>
          <w:cols w:equalWidth="0" w:num="2">
            <w:col w:w="7220" w:space="720"/>
            <w:col w:w="3100"/>
          </w:cols>
          <w:pgMar w:left="340" w:top="1019" w:right="51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The Stride Rite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Wolverine Chile SpA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Wolverine Consulting Services (Zhuhai) Company Limited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Wolverine de Mexico, S.A. de C.V.</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Wolverine Distribution,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Wolverine Europe B.V.</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Wolverine Europe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Wolverine Europe Retail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Wolverine Italia S.r.l.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Wolverine Outdoors,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Wolverine Product Management,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Wolverine Sourcing,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Wolverine Sourcing,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Wolverine Trading (HK)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Wolverine Trading (Zhuhai) Company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Wolverine Vietnam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Wolverine World Wide Canada ULC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Wolverine World Wide HK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Wolverine Worldwide Brands Private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Wolverine Worldwide Leathers HK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Wolverine Worldwide Leathers,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People’s Republic of China</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Netherlands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England &amp; Wales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England &amp; Wales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Italy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Michigan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Michigan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Michigan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People’s Republic of China</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Vietnam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Alberta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00" w:lineRule="exact"/>
        <w:rPr>
          <w:sz w:val="20"/>
          <w:szCs w:val="20"/>
          <w:color w:val="auto"/>
        </w:rPr>
      </w:pPr>
    </w:p>
    <w:p>
      <w:pPr>
        <w:sectPr>
          <w:pgSz w:w="11900" w:h="16838" w:orient="portrait"/>
          <w:cols w:equalWidth="0" w:num="2">
            <w:col w:w="7080" w:space="720"/>
            <w:col w:w="3240"/>
          </w:cols>
          <w:pgMar w:left="340" w:top="1019" w:right="519" w:bottom="1440" w:gutter="0" w:footer="0" w:header="0"/>
          <w:type w:val="continuous"/>
        </w:sectPr>
      </w:pPr>
    </w:p>
    <w:p>
      <w:pPr>
        <w:spacing w:after="0" w:line="200" w:lineRule="exact"/>
        <w:rPr>
          <w:sz w:val="20"/>
          <w:szCs w:val="20"/>
          <w:color w:val="auto"/>
        </w:rPr>
      </w:pPr>
    </w:p>
    <w:p>
      <w:pPr>
        <w:spacing w:after="0" w:line="2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040"/>
          </w:cols>
          <w:pgMar w:left="340" w:top="1019" w:right="519" w:bottom="1440" w:gutter="0" w:footer="0" w:header="0"/>
          <w:type w:val="continuous"/>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333" w:lineRule="exact"/>
        <w:rPr>
          <w:sz w:val="20"/>
          <w:szCs w:val="20"/>
          <w:color w:val="auto"/>
        </w:rPr>
      </w:pPr>
    </w:p>
    <w:p>
      <w:pPr>
        <w:ind w:left="640" w:hanging="308"/>
        <w:spacing w:after="0"/>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333-93563) pertaining to the 1999 Stock Incentive Plan of Wolverine World Wide, Inc.,</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333-88898) pertaining to the Amended and Restated Outside Directors’ Deferred Compensation Plan of Wolverine World Wide, Inc.,</w:t>
      </w:r>
    </w:p>
    <w:p>
      <w:pPr>
        <w:ind w:left="660" w:hanging="328"/>
        <w:spacing w:after="0" w:line="250" w:lineRule="auto"/>
        <w:tabs>
          <w:tab w:leader="none" w:pos="65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333-97917) pertaining to the Amended and Restated Directors’ Stock Option Plan of Wolverine World Wide, Inc.,</w:t>
      </w:r>
    </w:p>
    <w:p>
      <w:pPr>
        <w:ind w:left="640" w:hanging="308"/>
        <w:spacing w:after="0"/>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333-106973) pertaining to the 2003 Stock Incentive Plan of Wolverine World Wide, Inc.,</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333-129202) pertaining to the 2005 Stock Incentive Plan of Wolverine World Wide, Inc.,</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333-165201) pertaining to the 2010 Stock Incentive Plan of Wolverine World Wide, Inc.,</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333-186914) pertaining to the 2013 Stock Incentive Plan of Wolverine World Wide, Inc.,</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333-210771) pertaining to the 2016 Stock Incentive Plan of Wolverine World Wide, Inc.,</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333-224761) pertaining to the Amended and Restated 2016 Stock Incentive Plan of Wolverine World Wide, Inc.,</w:t>
      </w:r>
    </w:p>
    <w:p>
      <w:pPr>
        <w:ind w:left="660" w:right="20" w:hanging="328"/>
        <w:spacing w:after="0" w:line="250" w:lineRule="auto"/>
        <w:tabs>
          <w:tab w:leader="none" w:pos="64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333-256085) pertaining to the Amended and Restated 2016 Stock Incentive Plan of Wolverine World Wide, Inc.,</w:t>
      </w:r>
    </w:p>
    <w:p>
      <w:pPr>
        <w:ind w:left="660" w:hanging="328"/>
        <w:spacing w:after="0" w:line="250" w:lineRule="auto"/>
        <w:tabs>
          <w:tab w:leader="none" w:pos="64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333-271835) pertaining to the Amended and Restated 2016 Stock Incentive Plan of Wolverine World Wide, Inc., and</w:t>
      </w:r>
    </w:p>
    <w:p>
      <w:pPr>
        <w:ind w:left="640" w:hanging="308"/>
        <w:spacing w:after="0"/>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333-279322) pertaining to the 2024 Stock Incentive Plan of Wolverine World Wide, Inc.;</w:t>
      </w:r>
    </w:p>
    <w:p>
      <w:pPr>
        <w:spacing w:after="0" w:line="234"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of our reports dated February 20, 2025, with respect to the consolidated financial statements and schedule of Wolverine World Wide, Inc. and subsidiaries and the effectiveness of internal control over financial reporting of Wolverine World Wide, Inc. and subsidiaries included in this Annual Report (Form 10-K) of Wolverine World Wide, Inc. for the year ended December 28, 2024.</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 Rapids, Michigan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2025</w:t>
      </w:r>
    </w:p>
    <w:p>
      <w:pPr>
        <w:sectPr>
          <w:pgSz w:w="11900" w:h="16838" w:orient="portrait"/>
          <w:cols w:equalWidth="0" w:num="1">
            <w:col w:w="11240"/>
          </w:cols>
          <w:pgMar w:left="320" w:top="887"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E. Hufnagel, certify that:</w:t>
      </w:r>
    </w:p>
    <w:p>
      <w:pPr>
        <w:spacing w:after="0" w:line="234" w:lineRule="exact"/>
        <w:rPr>
          <w:sz w:val="20"/>
          <w:szCs w:val="20"/>
          <w:color w:val="auto"/>
        </w:rPr>
      </w:pPr>
    </w:p>
    <w:p>
      <w:pPr>
        <w:ind w:left="340" w:hanging="332"/>
        <w:spacing w:after="0"/>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Wolverine World Wide, Inc.;</w:t>
      </w:r>
    </w:p>
    <w:p>
      <w:pPr>
        <w:spacing w:after="0" w:line="6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left="340" w:hanging="332"/>
        <w:spacing w:after="0" w:line="281"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5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Times New Roman" w:cs="Times New Roman" w:eastAsia="Times New Roman" w:hAnsi="Times New Roman"/>
          <w:sz w:val="18"/>
          <w:szCs w:val="18"/>
          <w:color w:val="auto"/>
        </w:rPr>
      </w:pPr>
    </w:p>
    <w:p>
      <w:pPr>
        <w:ind w:left="340" w:hanging="332"/>
        <w:spacing w:after="0" w:line="281"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20, 2025</w:t>
      </w:r>
    </w:p>
    <w:p>
      <w:pPr>
        <w:spacing w:after="0" w:line="37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Christopher E. Hufnagel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17145</wp:posOffset>
            </wp:positionV>
            <wp:extent cx="392620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73">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Christopher E. Hufnagel</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Wolverine World Wide, Inc.</w:t>
      </w:r>
    </w:p>
    <w:p>
      <w:pPr>
        <w:sectPr>
          <w:pgSz w:w="11900" w:h="16838" w:orient="portrait"/>
          <w:cols w:equalWidth="0" w:num="1">
            <w:col w:w="11240"/>
          </w:cols>
          <w:pgMar w:left="320" w:top="887"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Taryn L. Miller, certify that:</w:t>
      </w:r>
    </w:p>
    <w:p>
      <w:pPr>
        <w:spacing w:after="0" w:line="234" w:lineRule="exact"/>
        <w:rPr>
          <w:sz w:val="20"/>
          <w:szCs w:val="20"/>
          <w:color w:val="auto"/>
        </w:rPr>
      </w:pPr>
    </w:p>
    <w:p>
      <w:pPr>
        <w:ind w:left="340" w:hanging="332"/>
        <w:spacing w:after="0"/>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Wolverine World Wide, Inc.;</w:t>
      </w:r>
    </w:p>
    <w:p>
      <w:pPr>
        <w:spacing w:after="0" w:line="6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left="340" w:hanging="332"/>
        <w:spacing w:after="0" w:line="281"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5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Times New Roman" w:cs="Times New Roman" w:eastAsia="Times New Roman" w:hAnsi="Times New Roman"/>
          <w:sz w:val="18"/>
          <w:szCs w:val="18"/>
          <w:color w:val="auto"/>
        </w:rPr>
      </w:pPr>
    </w:p>
    <w:p>
      <w:pPr>
        <w:ind w:left="340" w:hanging="332"/>
        <w:spacing w:after="0" w:line="281"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20, 2025</w:t>
      </w:r>
    </w:p>
    <w:p>
      <w:pPr>
        <w:spacing w:after="0" w:line="37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Taryn L.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17145</wp:posOffset>
            </wp:positionV>
            <wp:extent cx="392620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74">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Taryn L. Miller</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Wolverine World Wide, Inc.</w:t>
      </w:r>
    </w:p>
    <w:p>
      <w:pPr>
        <w:sectPr>
          <w:pgSz w:w="11900" w:h="16838" w:orient="portrait"/>
          <w:cols w:equalWidth="0" w:num="1">
            <w:col w:w="11240"/>
          </w:cols>
          <w:pgMar w:left="320" w:top="887"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Solely for the purpose of complying with 18 U.S.C. § 1350, each of the undersigned hereby certifies in his capacity as an officer of Wolverine World Wide, Inc. (the “Company”) that the Annual Report of the Company on Form 10-K for the fiscal year ended December 28, 2024 fully complies with the requirements of Section 13(a) or 15(d) of the Securities Exchange Act of 1934 and that information contained in such report fairly presents, in all material respects, the financial condition of the Company at the end of such period and the results of operations of the Company for such period.</w:t>
      </w:r>
    </w:p>
    <w:p>
      <w:pPr>
        <w:spacing w:after="0" w:line="200" w:lineRule="exact"/>
        <w:rPr>
          <w:sz w:val="20"/>
          <w:szCs w:val="20"/>
          <w:color w:val="auto"/>
        </w:rPr>
      </w:pPr>
    </w:p>
    <w:p>
      <w:pPr>
        <w:spacing w:after="0" w:line="29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20, 2025</w:t>
            </w:r>
          </w:p>
        </w:tc>
        <w:tc>
          <w:tcPr>
            <w:tcW w:w="6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E. Hufnagel</w:t>
            </w:r>
          </w:p>
        </w:tc>
      </w:tr>
      <w:tr>
        <w:trPr>
          <w:trHeight w:val="218"/>
        </w:trPr>
        <w:tc>
          <w:tcPr>
            <w:tcW w:w="4940" w:type="dxa"/>
            <w:vAlign w:val="bottom"/>
          </w:tcPr>
          <w:p>
            <w:pPr>
              <w:spacing w:after="0"/>
              <w:rPr>
                <w:sz w:val="18"/>
                <w:szCs w:val="18"/>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E. Hufnagel</w:t>
            </w:r>
          </w:p>
        </w:tc>
      </w:tr>
      <w:tr>
        <w:trPr>
          <w:trHeight w:val="229"/>
        </w:trPr>
        <w:tc>
          <w:tcPr>
            <w:tcW w:w="4940" w:type="dxa"/>
            <w:vAlign w:val="bottom"/>
          </w:tcPr>
          <w:p>
            <w:pPr>
              <w:spacing w:after="0"/>
              <w:rPr>
                <w:sz w:val="19"/>
                <w:szCs w:val="19"/>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4940" w:type="dxa"/>
            <w:vAlign w:val="bottom"/>
          </w:tcPr>
          <w:p>
            <w:pPr>
              <w:spacing w:after="0"/>
              <w:rPr>
                <w:sz w:val="20"/>
                <w:szCs w:val="20"/>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69"/>
        </w:trPr>
        <w:tc>
          <w:tcPr>
            <w:tcW w:w="4940" w:type="dxa"/>
            <w:vAlign w:val="bottom"/>
          </w:tcPr>
          <w:p>
            <w:pPr>
              <w:spacing w:after="0"/>
              <w:rPr>
                <w:sz w:val="24"/>
                <w:szCs w:val="24"/>
                <w:color w:val="auto"/>
              </w:rPr>
            </w:pPr>
          </w:p>
        </w:tc>
        <w:tc>
          <w:tcPr>
            <w:tcW w:w="6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Taryn L. Miller</w:t>
            </w:r>
          </w:p>
        </w:tc>
      </w:tr>
      <w:tr>
        <w:trPr>
          <w:trHeight w:val="218"/>
        </w:trPr>
        <w:tc>
          <w:tcPr>
            <w:tcW w:w="4940" w:type="dxa"/>
            <w:vAlign w:val="bottom"/>
          </w:tcPr>
          <w:p>
            <w:pPr>
              <w:spacing w:after="0"/>
              <w:rPr>
                <w:sz w:val="18"/>
                <w:szCs w:val="18"/>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Taryn L. Miller</w:t>
            </w:r>
          </w:p>
        </w:tc>
      </w:tr>
      <w:tr>
        <w:trPr>
          <w:trHeight w:val="230"/>
        </w:trPr>
        <w:tc>
          <w:tcPr>
            <w:tcW w:w="4940" w:type="dxa"/>
            <w:vAlign w:val="bottom"/>
          </w:tcPr>
          <w:p>
            <w:pPr>
              <w:spacing w:after="0"/>
              <w:rPr>
                <w:sz w:val="19"/>
                <w:szCs w:val="19"/>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4940" w:type="dxa"/>
            <w:vAlign w:val="bottom"/>
          </w:tcPr>
          <w:p>
            <w:pPr>
              <w:spacing w:after="0"/>
              <w:rPr>
                <w:sz w:val="20"/>
                <w:szCs w:val="20"/>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1."/>
      <w:numFmt w:val="decimal"/>
      <w:start w:val="1"/>
    </w:lvl>
  </w:abstractNum>
  <w:abstractNum w:abstractNumId="5">
    <w:nsid w:val="8138641"/>
    <w:multiLevelType w:val="hybridMultilevel"/>
    <w:lvl w:ilvl="0">
      <w:lvlJc w:val="left"/>
      <w:lvlText w:val="%1."/>
      <w:numFmt w:val="decimal"/>
      <w:start w:val="2"/>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1)"/>
      <w:numFmt w:val="decimal"/>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1)"/>
      <w:numFmt w:val="decimal"/>
      <w:start w:val="1"/>
    </w:lvl>
  </w:abstractNum>
  <w:abstractNum w:abstractNumId="17">
    <w:nsid w:val="5072367"/>
    <w:multiLevelType w:val="hybridMultilevel"/>
    <w:lvl w:ilvl="0">
      <w:lvlJc w:val="left"/>
      <w:lvlText w:val="(%1)"/>
      <w:numFmt w:val="decimal"/>
      <w:start w:val="2"/>
    </w:lvl>
  </w:abstractNum>
  <w:abstractNum w:abstractNumId="18">
    <w:nsid w:val="3804823E"/>
    <w:multiLevelType w:val="hybridMultilevel"/>
    <w:lvl w:ilvl="0">
      <w:lvlJc w:val="left"/>
      <w:lvlText w:val="(%1)"/>
      <w:numFmt w:val="decimal"/>
      <w:start w:val="1"/>
    </w:lvl>
  </w:abstractNum>
  <w:abstractNum w:abstractNumId="19">
    <w:nsid w:val="77465F01"/>
    <w:multiLevelType w:val="hybridMultilevel"/>
    <w:lvl w:ilvl="0">
      <w:lvlJc w:val="left"/>
      <w:lvlText w:val="(%1)"/>
      <w:numFmt w:val="decimal"/>
      <w:start w:val="4"/>
    </w:lvl>
  </w:abstractNum>
  <w:abstractNum w:abstractNumId="20">
    <w:nsid w:val="7724C67E"/>
    <w:multiLevelType w:val="hybridMultilevel"/>
    <w:lvl w:ilvl="0">
      <w:lvlJc w:val="left"/>
      <w:lvlText w:val="%1."/>
      <w:numFmt w:val="decimal"/>
      <w:start w:val="1"/>
    </w:lvl>
  </w:abstractNum>
  <w:abstractNum w:abstractNumId="21">
    <w:nsid w:val="5C482A97"/>
    <w:multiLevelType w:val="hybridMultilevel"/>
    <w:lvl w:ilvl="0">
      <w:lvlJc w:val="left"/>
      <w:lvlText w:val="(%1)"/>
      <w:numFmt w:val="decimal"/>
      <w:start w:val="1"/>
    </w:lvl>
  </w:abstractNum>
  <w:abstractNum w:abstractNumId="22">
    <w:nsid w:val="2463B9EA"/>
    <w:multiLevelType w:val="hybridMultilevel"/>
    <w:lvl w:ilvl="0">
      <w:lvlJc w:val="left"/>
      <w:lvlText w:val="%1."/>
      <w:numFmt w:val="decimal"/>
      <w:start w:val="2"/>
    </w:lvl>
  </w:abstractNum>
  <w:abstractNum w:abstractNumId="23">
    <w:nsid w:val="5E884ADC"/>
    <w:multiLevelType w:val="hybridMultilevel"/>
    <w:lvl w:ilvl="0">
      <w:lvlJc w:val="left"/>
      <w:lvlText w:val="%1."/>
      <w:numFmt w:val="decimal"/>
      <w:start w:val="3"/>
    </w:lvl>
  </w:abstractNum>
  <w:abstractNum w:abstractNumId="24">
    <w:nsid w:val="51EAD36B"/>
    <w:multiLevelType w:val="hybridMultilevel"/>
    <w:lvl w:ilvl="0">
      <w:lvlJc w:val="left"/>
      <w:lvlText w:val="%1."/>
      <w:numFmt w:val="decimal"/>
      <w:start w:val="4"/>
    </w:lvl>
  </w:abstractNum>
  <w:abstractNum w:abstractNumId="25">
    <w:nsid w:val="2D517796"/>
    <w:multiLevelType w:val="hybridMultilevel"/>
    <w:lvl w:ilvl="0">
      <w:lvlJc w:val="left"/>
      <w:lvlText w:val="(%1)"/>
      <w:numFmt w:val="decimal"/>
      <w:start w:val="1"/>
    </w:lvl>
  </w:abstractNum>
  <w:abstractNum w:abstractNumId="26">
    <w:nsid w:val="580BD78F"/>
    <w:multiLevelType w:val="hybridMultilevel"/>
    <w:lvl w:ilvl="0">
      <w:lvlJc w:val="left"/>
      <w:lvlText w:val="%1."/>
      <w:numFmt w:val="decimal"/>
      <w:start w:val="5"/>
    </w:lvl>
  </w:abstractNum>
  <w:abstractNum w:abstractNumId="27">
    <w:nsid w:val="153EA438"/>
    <w:multiLevelType w:val="hybridMultilevel"/>
    <w:lvl w:ilvl="0">
      <w:lvlJc w:val="left"/>
      <w:lvlText w:val="%1."/>
      <w:numFmt w:val="decimal"/>
      <w:start w:val="6"/>
    </w:lvl>
  </w:abstractNum>
  <w:abstractNum w:abstractNumId="28">
    <w:nsid w:val="3855585C"/>
    <w:multiLevelType w:val="hybridMultilevel"/>
    <w:lvl w:ilvl="0">
      <w:lvlJc w:val="left"/>
      <w:lvlText w:val="%1."/>
      <w:numFmt w:val="decimal"/>
      <w:start w:val="7"/>
    </w:lvl>
  </w:abstractNum>
  <w:abstractNum w:abstractNumId="29">
    <w:nsid w:val="70A64E2A"/>
    <w:multiLevelType w:val="hybridMultilevel"/>
    <w:lvl w:ilvl="0">
      <w:lvlJc w:val="left"/>
      <w:lvlText w:val="%1."/>
      <w:numFmt w:val="decimal"/>
      <w:start w:val="9"/>
    </w:lvl>
  </w:abstractNum>
  <w:abstractNum w:abstractNumId="30">
    <w:nsid w:val="6A2342EC"/>
    <w:multiLevelType w:val="hybridMultilevel"/>
    <w:lvl w:ilvl="0">
      <w:lvlJc w:val="left"/>
      <w:lvlText w:val="(%1)"/>
      <w:numFmt w:val="decimal"/>
      <w:start w:val="1"/>
    </w:lvl>
  </w:abstractNum>
  <w:abstractNum w:abstractNumId="31">
    <w:nsid w:val="2A487CB0"/>
    <w:multiLevelType w:val="hybridMultilevel"/>
    <w:lvl w:ilvl="0">
      <w:lvlJc w:val="left"/>
      <w:lvlText w:val="%1."/>
      <w:numFmt w:val="decimal"/>
      <w:start w:val="16"/>
    </w:lvl>
  </w:abstractNum>
  <w:abstractNum w:abstractNumId="32">
    <w:nsid w:val="1D4ED43B"/>
    <w:multiLevelType w:val="hybridMultilevel"/>
    <w:lvl w:ilvl="0">
      <w:lvlJc w:val="left"/>
      <w:lvlText w:val="%1."/>
      <w:numFmt w:val="decimal"/>
      <w:start w:val="17"/>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1."/>
      <w:numFmt w:val="decimal"/>
      <w:start w:val="19"/>
    </w:lvl>
  </w:abstractNum>
  <w:abstractNum w:abstractNumId="35">
    <w:nsid w:val="57E4CCAF"/>
    <w:multiLevelType w:val="hybridMultilevel"/>
    <w:lvl w:ilvl="0">
      <w:lvlJc w:val="left"/>
      <w:lvlText w:val="%1."/>
      <w:numFmt w:val="decimal"/>
      <w:start w:val="20"/>
    </w:lvl>
  </w:abstractNum>
  <w:abstractNum w:abstractNumId="36">
    <w:nsid w:val="7A6D8D3C"/>
    <w:multiLevelType w:val="hybridMultilevel"/>
    <w:lvl w:ilvl="0">
      <w:lvlJc w:val="left"/>
      <w:lvlText w:val="(%1)"/>
      <w:numFmt w:val="lowerLetter"/>
      <w:start w:val="3"/>
    </w:lvl>
  </w:abstractNum>
  <w:abstractNum w:abstractNumId="37">
    <w:nsid w:val="4B588F54"/>
    <w:multiLevelType w:val="hybridMultilevel"/>
    <w:lvl w:ilvl="0">
      <w:lvlJc w:val="left"/>
      <w:lvlText w:val="(%1)"/>
      <w:numFmt w:val="decimal"/>
      <w:start w:val="1"/>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40">
    <w:nsid w:val="38437FDB"/>
    <w:multiLevelType w:val="hybridMultilevel"/>
    <w:lvl w:ilvl="0">
      <w:lvlJc w:val="left"/>
      <w:lvlText w:val="(%1)"/>
      <w:numFmt w:val="decimal"/>
      <w:start w:val="3"/>
    </w:lvl>
  </w:abstractNum>
  <w:abstractNum w:abstractNumId="41">
    <w:nsid w:val="7644A45C"/>
    <w:multiLevelType w:val="hybridMultilevel"/>
    <w:lvl w:ilvl="0">
      <w:lvlJc w:val="left"/>
      <w:lvlText w:val="%1"/>
      <w:numFmt w:val="decimal"/>
      <w:start w:val="19"/>
    </w:lvl>
  </w:abstractNum>
  <w:abstractNum w:abstractNumId="42">
    <w:nsid w:val="32FFF902"/>
    <w:multiLevelType w:val="hybridMultilevel"/>
    <w:lvl w:ilvl="0">
      <w:lvlJc w:val="left"/>
      <w:lvlText w:val="%1"/>
      <w:numFmt w:val="decimal"/>
      <w:start w:val="21"/>
    </w:lvl>
  </w:abstractNum>
  <w:abstractNum w:abstractNumId="43">
    <w:nsid w:val="684A481A"/>
    <w:multiLevelType w:val="hybridMultilevel"/>
    <w:lvl w:ilvl="0">
      <w:lvlJc w:val="left"/>
      <w:lvlText w:val="%1"/>
      <w:numFmt w:val="decimal"/>
      <w:start w:val="23"/>
    </w:lvl>
  </w:abstractNum>
  <w:abstractNum w:abstractNumId="44">
    <w:nsid w:val="579478FE"/>
    <w:multiLevelType w:val="hybridMultilevel"/>
    <w:lvl w:ilvl="0">
      <w:lvlJc w:val="left"/>
      <w:lvlText w:val="%1"/>
      <w:numFmt w:val="decimal"/>
      <w:start w:val="32"/>
    </w:lvl>
  </w:abstractNum>
  <w:abstractNum w:abstractNumId="45">
    <w:nsid w:val="749ABB43"/>
    <w:multiLevelType w:val="hybridMultilevel"/>
    <w:lvl w:ilvl="0">
      <w:lvlJc w:val="left"/>
      <w:lvlText w:val="%1"/>
      <w:numFmt w:val="decimal"/>
      <w:start w:val="97"/>
    </w:lvl>
  </w:abstractNum>
  <w:abstractNum w:abstractNumId="46">
    <w:nsid w:val="3DC240FB"/>
    <w:multiLevelType w:val="hybridMultilevel"/>
    <w:lvl w:ilvl="0">
      <w:lvlJc w:val="left"/>
      <w:lvlText w:val="%1"/>
      <w:numFmt w:val="decimal"/>
      <w:start w:val="101"/>
    </w:lvl>
  </w:abstractNum>
  <w:abstractNum w:abstractNumId="47">
    <w:nsid w:val="1BA026FA"/>
    <w:multiLevelType w:val="hybridMultilevel"/>
    <w:lvl w:ilvl="0">
      <w:lvlJc w:val="left"/>
      <w:lvlText w:val="%1"/>
      <w:numFmt w:val="decimal"/>
      <w:start w:val="104"/>
    </w:lvl>
  </w:abstractNum>
  <w:abstractNum w:abstractNumId="48">
    <w:nsid w:val="79A1DEAA"/>
    <w:multiLevelType w:val="hybridMultilevel"/>
    <w:lvl w:ilvl="0">
      <w:lvlJc w:val="left"/>
      <w:lvlText w:val="»"/>
      <w:numFmt w:val="bullet"/>
      <w:start w:val="1"/>
    </w:lvl>
  </w:abstractNum>
  <w:abstractNum w:abstractNumId="49">
    <w:nsid w:val="75C6C33A"/>
    <w:multiLevelType w:val="hybridMultilevel"/>
    <w:lvl w:ilvl="0">
      <w:lvlJc w:val="left"/>
      <w:lvlText w:val="»"/>
      <w:numFmt w:val="bullet"/>
      <w:start w:val="1"/>
    </w:lvl>
  </w:abstractNum>
  <w:abstractNum w:abstractNumId="50">
    <w:nsid w:val="12E685FB"/>
    <w:multiLevelType w:val="hybridMultilevel"/>
    <w:lvl w:ilvl="0">
      <w:lvlJc w:val="left"/>
      <w:lvlText w:val="(%1)"/>
      <w:numFmt w:val="lowerRoman"/>
      <w:start w:val="4"/>
    </w:lvl>
  </w:abstractNum>
  <w:abstractNum w:abstractNumId="51">
    <w:nsid w:val="70C6A529"/>
    <w:multiLevelType w:val="hybridMultilevel"/>
    <w:lvl w:ilvl="0">
      <w:lvlJc w:val="left"/>
      <w:lvlText w:val="(%1)"/>
      <w:numFmt w:val="decimal"/>
      <w:start w:val="1"/>
    </w:lvl>
  </w:abstractNum>
  <w:abstractNum w:abstractNumId="52">
    <w:nsid w:val="520EEDD1"/>
    <w:multiLevelType w:val="hybridMultilevel"/>
    <w:lvl w:ilvl="0">
      <w:lvlJc w:val="left"/>
      <w:lvlText w:val="%1."/>
      <w:numFmt w:val="decimal"/>
      <w:start w:val="1"/>
    </w:lvl>
    <w:lvl w:ilvl="1">
      <w:lvlJc w:val="left"/>
      <w:lvlText w:val="(%2)"/>
      <w:numFmt w:val="lowerLetter"/>
      <w:start w:val="1"/>
    </w:lvl>
  </w:abstractNum>
  <w:abstractNum w:abstractNumId="53">
    <w:nsid w:val="374A3FE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101" Type="http://schemas.openxmlformats.org/officeDocument/2006/relationships/image" Target="media/image92.png"/><Relationship Id="rId121" Type="http://schemas.openxmlformats.org/officeDocument/2006/relationships/image" Target="media/image93.png"/><Relationship Id="rId141" Type="http://schemas.openxmlformats.org/officeDocument/2006/relationships/image" Target="media/image94.png"/><Relationship Id="rId153" Type="http://schemas.openxmlformats.org/officeDocument/2006/relationships/image" Target="media/image95.png"/><Relationship Id="rId166" Type="http://schemas.openxmlformats.org/officeDocument/2006/relationships/image" Target="media/image96.png"/><Relationship Id="rId167" Type="http://schemas.openxmlformats.org/officeDocument/2006/relationships/image" Target="media/image97.png"/><Relationship Id="rId168" Type="http://schemas.openxmlformats.org/officeDocument/2006/relationships/image" Target="media/image98.png"/><Relationship Id="rId169" Type="http://schemas.openxmlformats.org/officeDocument/2006/relationships/image" Target="media/image99.png"/><Relationship Id="rId170" Type="http://schemas.openxmlformats.org/officeDocument/2006/relationships/image" Target="media/image100.png"/><Relationship Id="rId171" Type="http://schemas.openxmlformats.org/officeDocument/2006/relationships/image" Target="media/image101.png"/><Relationship Id="rId172" Type="http://schemas.openxmlformats.org/officeDocument/2006/relationships/image" Target="media/image102.png"/><Relationship Id="rId173" Type="http://schemas.openxmlformats.org/officeDocument/2006/relationships/image" Target="media/image103.png"/><Relationship Id="rId174" Type="http://schemas.openxmlformats.org/officeDocument/2006/relationships/image" Target="media/image104.png"/><Relationship Id="rId99" Type="http://schemas.openxmlformats.org/officeDocument/2006/relationships/hyperlink" Target="https://www.sec.gov/Archives/edgar/data/110471/000110465914029839/a14-11062_1ex3d1.htm" TargetMode="External"/><Relationship Id="rId100" Type="http://schemas.openxmlformats.org/officeDocument/2006/relationships/hyperlink" Target="https://www.sec.gov/Archives/edgar/data/110471/000011047122000065/ex31amendedandrestatedby-l.htm" TargetMode="External"/><Relationship Id="rId102" Type="http://schemas.openxmlformats.org/officeDocument/2006/relationships/hyperlink" Target="https://www.sec.gov/Archives/edgar/data/110471/000011047120000008/a2019-q4exhibit41.htm" TargetMode="External"/><Relationship Id="rId103" Type="http://schemas.openxmlformats.org/officeDocument/2006/relationships/hyperlink" Target="https://www.sec.gov/Archives/edgar/data/110471/000110465921109823/tm2125841d1_ex4-1.htm" TargetMode="External"/><Relationship Id="rId104" Type="http://schemas.openxmlformats.org/officeDocument/2006/relationships/hyperlink" Target="https://www.sec.gov/Archives/edgar/data/110471/000090572908000096/wwwex109_022608.htm" TargetMode="External"/><Relationship Id="rId105" Type="http://schemas.openxmlformats.org/officeDocument/2006/relationships/hyperlink" Target="https://www.sec.gov/Archives/edgar/data/110471/000090572908000476/wwwex102_121708.htm" TargetMode="External"/><Relationship Id="rId106" Type="http://schemas.openxmlformats.org/officeDocument/2006/relationships/hyperlink" Target="https://www.sec.gov/Archives/edgar/data/110471/000110465918008901/a18-5874_1ex10d1.htm" TargetMode="External"/><Relationship Id="rId107" Type="http://schemas.openxmlformats.org/officeDocument/2006/relationships/hyperlink" Target="https://www.sec.gov/Archives/edgar/data/110471/000011047121000008/a2020-q4exhibit1035.htm" TargetMode="External"/><Relationship Id="rId108" Type="http://schemas.openxmlformats.org/officeDocument/2006/relationships/hyperlink" Target="https://www.sec.gov/Archives/edgar/data/110471/000090572908000096/wwwex1012_022608.htm" TargetMode="External"/><Relationship Id="rId109" Type="http://schemas.openxmlformats.org/officeDocument/2006/relationships/hyperlink" Target="https://www.sec.gov/Archives/edgar/data/110471/000011047124000057/a2023-q4ex106separationagr.htm" TargetMode="External"/><Relationship Id="rId110" Type="http://schemas.openxmlformats.org/officeDocument/2006/relationships/hyperlink" Target="https://www.sec.gov/Archives/edgar/data/110471/000090572908000476/wwwex103_121708.htm" TargetMode="External"/><Relationship Id="rId111" Type="http://schemas.openxmlformats.org/officeDocument/2006/relationships/hyperlink" Target="https://www.sec.gov/Archives/edgar/data/110471/000119312512089426/d268216dex1014.htm" TargetMode="External"/><Relationship Id="rId112" Type="http://schemas.openxmlformats.org/officeDocument/2006/relationships/hyperlink" Target="https://www.sec.gov/Archives/edgar/data/110471/000011047120000045/executiveseveranceagre.htm" TargetMode="External"/><Relationship Id="rId113" Type="http://schemas.openxmlformats.org/officeDocument/2006/relationships/hyperlink" Target="https://www.sec.gov/Archives/edgar/data/110471/000011047121000010/amendmenttohoffmanesa.htm" TargetMode="External"/><Relationship Id="rId114" Type="http://schemas.openxmlformats.org/officeDocument/2006/relationships/hyperlink" Target="https://www.sec.gov/Archives/edgar/data/110471/000090572907000168/wwwex101_042507.htm" TargetMode="External"/><Relationship Id="rId115" Type="http://schemas.openxmlformats.org/officeDocument/2006/relationships/hyperlink" Target="https://www.sec.gov/Archives/edgar/data/110471/000011047120000045/indemnificationagreeme.htm" TargetMode="External"/><Relationship Id="rId116" Type="http://schemas.openxmlformats.org/officeDocument/2006/relationships/hyperlink" Target="https://www.sec.gov/Archives/edgar/data/110471/000011047122000019/a2022-q1ex103employmentagr.htm" TargetMode="External"/><Relationship Id="rId117" Type="http://schemas.openxmlformats.org/officeDocument/2006/relationships/hyperlink" Target="https://www.sec.gov/Archives/edgar/data/110471/000011047123000147/a2023-q3ex101employmentagr.htm" TargetMode="External"/><Relationship Id="rId118" Type="http://schemas.openxmlformats.org/officeDocument/2006/relationships/hyperlink" Target="https://www.sec.gov/Archives/edgar/data/110471/000011047124000151/a2024-q2ex102transitionagr.htm" TargetMode="External"/><Relationship Id="rId119" Type="http://schemas.openxmlformats.org/officeDocument/2006/relationships/hyperlink" Target="https://www.sec.gov/Archives/edgar/data/110471/000090572907000168/wwwex105_042507.htm" TargetMode="External"/><Relationship Id="rId120" Type="http://schemas.openxmlformats.org/officeDocument/2006/relationships/hyperlink" Target="https://www.sec.gov/Archives/edgar/data/110471/000011047117000018/a2017-q1exhibit104serp.htm" TargetMode="External"/><Relationship Id="rId122" Type="http://schemas.openxmlformats.org/officeDocument/2006/relationships/hyperlink" Target="https://www.sec.gov/Archives/edgar/data/110471/000011047124000151/a2024-q2ex101secondamendme.htm" TargetMode="External"/><Relationship Id="rId123" Type="http://schemas.openxmlformats.org/officeDocument/2006/relationships/hyperlink" Target="https://www.sec.gov/Archives/edgar/data/110471/000011047118000010/a2017-q4exhibit1013pension.htm" TargetMode="External"/><Relationship Id="rId124" Type="http://schemas.openxmlformats.org/officeDocument/2006/relationships/hyperlink" Target="https://www.sec.gov/Archives/edgar/data/110471/000011047119000009/a2018-q4exhibit1034pension.htm" TargetMode="External"/><Relationship Id="rId125" Type="http://schemas.openxmlformats.org/officeDocument/2006/relationships/hyperlink" Target="https://www.sec.gov/Archives/edgar/data/110471/000011047121000008/a2020-q4exhibit1041.htm" TargetMode="External"/><Relationship Id="rId126" Type="http://schemas.openxmlformats.org/officeDocument/2006/relationships/hyperlink" Target="https://www.sec.gov/Archives/edgar/data/110471/000011047122000008/a2021-q4ex1020wepp2ndamend.htm" TargetMode="External"/><Relationship Id="rId127" Type="http://schemas.openxmlformats.org/officeDocument/2006/relationships/hyperlink" Target="https://www.sec.gov/Archives/edgar/data/110471/000095012310020920/c97217exv10w1.htm" TargetMode="External"/><Relationship Id="rId128" Type="http://schemas.openxmlformats.org/officeDocument/2006/relationships/hyperlink" Target="https://www.sec.gov/Archives/edgar/data/110471/000011047114000003/a2013-q4exhibit1038.htm" TargetMode="External"/><Relationship Id="rId129" Type="http://schemas.openxmlformats.org/officeDocument/2006/relationships/hyperlink" Target="https://www.sec.gov/Archives/edgar/data/110471/000011047116000050/a2015-q4exhibit1024stockop.htm" TargetMode="External"/><Relationship Id="rId130" Type="http://schemas.openxmlformats.org/officeDocument/2006/relationships/hyperlink" Target="https://www.sec.gov/Archives/edgar/data/110471/000114036121010151/nc10019335x1_def14a.htm#tAPPAB" TargetMode="External"/><Relationship Id="rId131" Type="http://schemas.openxmlformats.org/officeDocument/2006/relationships/hyperlink" Target="https://www.sec.gov/ix?doc=/Archives/edgar/data/110471/000114036124014365/ny20015847x1_def14a.htm" TargetMode="External"/><Relationship Id="rId132" Type="http://schemas.openxmlformats.org/officeDocument/2006/relationships/hyperlink" Target="https://www.sec.gov/Archives/edgar/data/110471/000011047121000023/a2021-q1ex101rsuawardagree.htm" TargetMode="External"/><Relationship Id="rId133" Type="http://schemas.openxmlformats.org/officeDocument/2006/relationships/hyperlink" Target="https://www.sec.gov/Archives/edgar/data/110471/000011047122000019/a2022-q1ex101rsuawardagree.htm" TargetMode="External"/><Relationship Id="rId134" Type="http://schemas.openxmlformats.org/officeDocument/2006/relationships/hyperlink" Target="https://www.sec.gov/Archives/edgar/data/110471/000011047123000066/a2023-q1ex101rsuawardagree.htm" TargetMode="External"/><Relationship Id="rId135" Type="http://schemas.openxmlformats.org/officeDocument/2006/relationships/hyperlink" Target="https://www.sec.gov/Archives/edgar/data/110471/000011047122000019/a2022-q1ex102psuawardagree.htm" TargetMode="External"/><Relationship Id="rId136" Type="http://schemas.openxmlformats.org/officeDocument/2006/relationships/hyperlink" Target="https://www.sec.gov/Archives/edgar/data/110471/000011047123000066/a2023-q1ex102psuawardagree.htm" TargetMode="External"/><Relationship Id="rId137" Type="http://schemas.openxmlformats.org/officeDocument/2006/relationships/hyperlink" Target="https://www.sec.gov/Archives/edgar/data/110471/000011047124000110/a2024-q1ex101performancere.htm" TargetMode="External"/><Relationship Id="rId138" Type="http://schemas.openxmlformats.org/officeDocument/2006/relationships/hyperlink" Target="https://www.sec.gov/Archives/edgar/data/110471/000119312512327318/d388439dex101.htm" TargetMode="External"/><Relationship Id="rId139" Type="http://schemas.openxmlformats.org/officeDocument/2006/relationships/hyperlink" Target="https://www.sec.gov/Archives/edgar/data/110471/000119312512415214/d420578dex101.htm" TargetMode="External"/><Relationship Id="rId140" Type="http://schemas.openxmlformats.org/officeDocument/2006/relationships/hyperlink" Target="https://www.sec.gov/Archives/edgar/data/110471/000119312512418154/d421957dex101.htm" TargetMode="External"/><Relationship Id="rId142" Type="http://schemas.openxmlformats.org/officeDocument/2006/relationships/hyperlink" Target="https://www.sec.gov/Archives/edgar/data/110471/000110465913075296/a13-21959_1ex10d1.htm" TargetMode="External"/><Relationship Id="rId143" Type="http://schemas.openxmlformats.org/officeDocument/2006/relationships/hyperlink" Target="https://www.sec.gov/Archives/edgar/data/110471/000011047115000012/a2014-q4exhibit1045credita.htm" TargetMode="External"/><Relationship Id="rId144" Type="http://schemas.openxmlformats.org/officeDocument/2006/relationships/hyperlink" Target="https://www.sec.gov/Archives/edgar/data/110471/000110465915051283/a15-15675_1ex10d1.htm" TargetMode="External"/><Relationship Id="rId145" Type="http://schemas.openxmlformats.org/officeDocument/2006/relationships/hyperlink" Target="https://www.sec.gov/Archives/edgar/data/110471/000110465916145459/a16-18610_1ex10d1.htm" TargetMode="External"/><Relationship Id="rId146" Type="http://schemas.openxmlformats.org/officeDocument/2006/relationships/hyperlink" Target="https://www.sec.gov/Archives/edgar/data/110471/000011047118000039/exhibit101.htm" TargetMode="External"/><Relationship Id="rId147" Type="http://schemas.openxmlformats.org/officeDocument/2006/relationships/hyperlink" Target="https://www.sec.gov/Archives/edgar/data/110471/000110465920057188/tm2018469d2_ex10-1.htm" TargetMode="External"/><Relationship Id="rId148" Type="http://schemas.openxmlformats.org/officeDocument/2006/relationships/hyperlink" Target="https://www.sec.gov/Archives/edgar/data/110471/000110465921129504/tm2130725d1_ex10-1.htm" TargetMode="External"/><Relationship Id="rId149" Type="http://schemas.openxmlformats.org/officeDocument/2006/relationships/hyperlink" Target="https://www.sec.gov/Archives/edgar/data/110471/000011047123000115/a2023-q2ex102creditagreeme.htm" TargetMode="External"/><Relationship Id="rId150" Type="http://schemas.openxmlformats.org/officeDocument/2006/relationships/hyperlink" Target="https://www.sec.gov/Archives/edgar/data/110471/000011047123000115/a2023-q2ex103creditagreeme.htm" TargetMode="External"/><Relationship Id="rId151" Type="http://schemas.openxmlformats.org/officeDocument/2006/relationships/hyperlink" Target="https://www.sec.gov/Archives/edgar/data/110471/000011047124000057/a2023-q4ex1049fifthamendme.htm" TargetMode="External"/><Relationship Id="rId152" Type="http://schemas.openxmlformats.org/officeDocument/2006/relationships/hyperlink" Target="https://www.sec.gov/Archives/edgar/data/110471/000011047123000021/a2022-q4exhibit1046rpa.htm" TargetMode="External"/><Relationship Id="rId154" Type="http://schemas.openxmlformats.org/officeDocument/2006/relationships/hyperlink" Target="https://www.sec.gov/Archives/edgar/data/110471/000011047123000115/a2023-q2ex104rpaamendment.htm" TargetMode="External"/><Relationship Id="rId155" Type="http://schemas.openxmlformats.org/officeDocument/2006/relationships/hyperlink" Target="https://www.sec.gov/Archives/edgar/data/110471/000011047124000110/a2024-q1ex102rpaamendments.htm" TargetMode="External"/><Relationship Id="rId156" Type="http://schemas.openxmlformats.org/officeDocument/2006/relationships/hyperlink" Target="https://www.sec.gov/Archives/edgar/data/110471/000011047124000110/a2024-q1ex103rpaamendmentt.htm" TargetMode="External"/><Relationship Id="rId157" Type="http://schemas.openxmlformats.org/officeDocument/2006/relationships/hyperlink" Target="https://www.sec.gov/Archives/edgar/data/110471/000104746917002079/a2231297zdef14a.htm#Appendix" TargetMode="External"/><Relationship Id="rId158" Type="http://schemas.openxmlformats.org/officeDocument/2006/relationships/hyperlink" Target="https://www.sec.gov/Archives/edgar/data/110471/000011047119000039/a2019-q2exhibit101bonu.htm" TargetMode="External"/><Relationship Id="rId159" Type="http://schemas.openxmlformats.org/officeDocument/2006/relationships/hyperlink" Target="https://www.sec.gov/Archives/edgar/data/110471/000110465920012535/tm207090d1_ex10-1.htm" TargetMode="External"/><Relationship Id="rId160" Type="http://schemas.openxmlformats.org/officeDocument/2006/relationships/hyperlink" Target="https://www.sec.gov/Archives/edgar/data/110471/000011047120000052/a2020-q3ex101hoffmanem.htm" TargetMode="External"/><Relationship Id="rId161" Type="http://schemas.openxmlformats.org/officeDocument/2006/relationships/hyperlink" Target="https://www.sec.gov/Archives/edgar/data/0000110471/000114036121042930/brhc10032212_ex10-1.htm" TargetMode="External"/><Relationship Id="rId162" Type="http://schemas.openxmlformats.org/officeDocument/2006/relationships/hyperlink" Target="https://www.sec.gov/Archives/edgar/data/110471/000011047123000021/a2022-q4exhibit1053apa.htm" TargetMode="External"/><Relationship Id="rId163" Type="http://schemas.openxmlformats.org/officeDocument/2006/relationships/hyperlink" Target="https://www.sec.gov/Archives/edgar/data/110471/000011047124000057/a2023-q4ex1059sperrypurcha.htm" TargetMode="External"/><Relationship Id="rId164" Type="http://schemas.openxmlformats.org/officeDocument/2006/relationships/hyperlink" Target="https://www.sec.gov/Archives/edgar/data/110471/000011047124000057/a2023-q4ex1060sperrypurcha.htm" TargetMode="External"/><Relationship Id="rId165" Type="http://schemas.openxmlformats.org/officeDocument/2006/relationships/hyperlink" Target="https://www.sec.gov/Archives/edgar/data/110471/000011047124000057/a2023-q4ex97clawbackpolic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2025-02-20T12:19:02Z</dcterms:created>
  <dcterms:modified xsi:type="dcterms:W3CDTF">2025-02-20T12:19:02Z</dcterms:modified>
</cp:coreProperties>
</file>