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WOLVERINE WORLD WIDE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Callodine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4,505,165.00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4,505,165.00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4,505,165.00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James S. Morrow</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4,505,165.00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4,505,165.00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4,505,165.00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6"/>
        <w:gridCol w:w="8934"/>
        <w:gridCol w:w="155"/>
      </w:tblGrid>
      <w:tr>
        <w:trPr/>
        <w:tc>
          <w:tcPr>
            <w:tcW w:w="1116" w:type="dxa"/>
            <w:tcBorders/>
            <w:vAlign w:val="center"/>
          </w:tcPr>
          <w:p>
            <w:pPr>
              <w:pStyle w:val="TableContents"/>
              <w:bidi w:val="0"/>
              <w:spacing w:before="0" w:after="283"/>
              <w:jc w:val="left"/>
              <w:rPr/>
            </w:pPr>
            <w:r>
              <w:rPr/>
              <w:t>Item 1.</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issuer: </w:t>
            </w:r>
          </w:p>
          <w:p>
            <w:pPr>
              <w:pStyle w:val="TableContents"/>
              <w:bidi w:val="0"/>
              <w:spacing w:before="0" w:after="0"/>
              <w:jc w:val="left"/>
              <w:rPr/>
            </w:pPr>
            <w:r>
              <w:rPr/>
              <w:t>WOLVERINE WORLD WIDE INC</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9341 COURTLAND DRIVE N.E., ROCKFORD, Michigan, 49351</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2.</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Callodine Capital Management, LP James S. Morrow Shares reported herein for Callodine Capital Management, LP ("Callodine") represent shares held for the benefit of investment advisory clients of Callodine. Shares reported herein for Mr. Morrow represent the above referenced shares reported for Callodine. Mr. Morrow is the managing member of the general partner of Callodine. Each of the Reporting Persons disclaims beneficial ownership of the shares reported herein except to the extent of its or his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Callodine Capital Management, LP James S. Morrow c/o Callodine Capital Management, LP Two International Place, Suite 1830 Boston, MA 02110</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jc w:val="left"/>
              <w:rPr/>
            </w:pPr>
            <w:r>
              <w:rPr/>
              <w:t xml:space="preserve">Citizenship: </w:t>
            </w:r>
          </w:p>
          <w:p>
            <w:pPr>
              <w:pStyle w:val="TableContents"/>
              <w:bidi w:val="0"/>
              <w:spacing w:before="0" w:after="0"/>
              <w:jc w:val="left"/>
              <w:rPr/>
            </w:pPr>
            <w:r>
              <w:rPr/>
              <w:t>Callodine Capital Management, LP - Delaware James S. Morrow - United States</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$1 par value</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3.</w:t>
            </w:r>
          </w:p>
        </w:tc>
        <w:tc>
          <w:tcPr>
            <w:tcW w:w="893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(f)</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(g)</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(h)</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(j)</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(k)</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9089" w:type="dxa"/>
            <w:gridSpan w:val="2"/>
            <w:tcBorders/>
            <w:vAlign w:val="center"/>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4.</w:t>
            </w:r>
          </w:p>
        </w:tc>
        <w:tc>
          <w:tcPr>
            <w:tcW w:w="893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4,505,165</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5.96%  %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4,505,165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4,505,165 The percentages reported herein with respect to the Reporting Persons' holdings are calculated based upon a statement in the Issuer's proxy statement, as filed with the Securities and Exchange Commission on March 26, 2026, that there were 81,980,999 shares of Common Stock, $1 par value, of the Issuer outstanding as of March 9,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5.</w:t>
            </w:r>
          </w:p>
        </w:tc>
        <w:tc>
          <w:tcPr>
            <w:tcW w:w="893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6.</w:t>
            </w:r>
          </w:p>
        </w:tc>
        <w:tc>
          <w:tcPr>
            <w:tcW w:w="893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7.</w:t>
            </w:r>
          </w:p>
        </w:tc>
        <w:tc>
          <w:tcPr>
            <w:tcW w:w="893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8.</w:t>
            </w:r>
          </w:p>
        </w:tc>
        <w:tc>
          <w:tcPr>
            <w:tcW w:w="893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9.</w:t>
            </w:r>
          </w:p>
        </w:tc>
        <w:tc>
          <w:tcPr>
            <w:tcW w:w="893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242" w:type="dxa"/>
        <w:jc w:val="left"/>
        <w:tblInd w:w="0" w:type="dxa"/>
        <w:tblLayout w:type="fixed"/>
        <w:tblCellMar>
          <w:top w:w="28" w:type="dxa"/>
          <w:left w:w="28" w:type="dxa"/>
          <w:bottom w:w="28" w:type="dxa"/>
          <w:right w:w="28" w:type="dxa"/>
        </w:tblCellMar>
      </w:tblPr>
      <w:tblGrid>
        <w:gridCol w:w="3621"/>
        <w:gridCol w:w="3621"/>
      </w:tblGrid>
      <w:tr>
        <w:trPr/>
        <w:tc>
          <w:tcPr>
            <w:tcW w:w="3621" w:type="dxa"/>
            <w:tcBorders/>
            <w:vAlign w:val="center"/>
          </w:tcPr>
          <w:p>
            <w:pPr>
              <w:pStyle w:val="TableContents"/>
              <w:bidi w:val="0"/>
              <w:spacing w:before="0" w:after="0"/>
              <w:jc w:val="left"/>
              <w:rPr/>
            </w:pPr>
            <w:r>
              <w:rPr/>
              <w:t> </w:t>
            </w:r>
          </w:p>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0"/>
                    <w:jc w:val="left"/>
                    <w:rPr/>
                  </w:pPr>
                  <w:r>
                    <w:rPr/>
                    <w:t>Callodine Capital Management, LP</w:t>
                  </w:r>
                </w:p>
              </w:tc>
            </w:tr>
          </w:tbl>
          <w:p>
            <w:pPr>
              <w:pStyle w:val="TableContents"/>
              <w:bidi w:val="0"/>
              <w:spacing w:before="0" w:after="283"/>
              <w:jc w:val="left"/>
              <w:rPr/>
            </w:pPr>
            <w:r>
              <w:rPr/>
            </w:r>
          </w:p>
        </w:tc>
        <w:tc>
          <w:tcPr>
            <w:tcW w:w="36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9"/>
        <w:gridCol w:w="4206"/>
      </w:tblGrid>
      <w:tr>
        <w:trPr/>
        <w:tc>
          <w:tcPr>
            <w:tcW w:w="599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By: Callodine Capital Management, LLC, Its General Partner, By: James S. Morrow, Managing Member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/s/ James S. Morrow, Managing Member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06" w:type="dxa"/>
            <w:tcBorders/>
            <w:vAlign w:val="center"/>
          </w:tcPr>
          <w:p>
            <w:pPr>
              <w:pStyle w:val="TableContents"/>
              <w:bidi w:val="0"/>
              <w:spacing w:before="0" w:after="283"/>
              <w:jc w:val="left"/>
              <w:rPr>
                <w:sz w:val="4"/>
                <w:szCs w:val="4"/>
              </w:rPr>
            </w:pPr>
            <w:r>
              <w:rPr>
                <w:sz w:val="4"/>
                <w:szCs w:val="4"/>
              </w:rPr>
            </w:r>
          </w:p>
        </w:tc>
      </w:tr>
    </w:tbl>
    <w:tbl>
      <w:tblPr>
        <w:tblW w:w="3934" w:type="dxa"/>
        <w:jc w:val="left"/>
        <w:tblInd w:w="0" w:type="dxa"/>
        <w:tblLayout w:type="fixed"/>
        <w:tblCellMar>
          <w:top w:w="28" w:type="dxa"/>
          <w:left w:w="28" w:type="dxa"/>
          <w:bottom w:w="28" w:type="dxa"/>
          <w:right w:w="28" w:type="dxa"/>
        </w:tblCellMar>
      </w:tblPr>
      <w:tblGrid>
        <w:gridCol w:w="1967"/>
        <w:gridCol w:w="1967"/>
      </w:tblGrid>
      <w:tr>
        <w:trPr/>
        <w:tc>
          <w:tcPr>
            <w:tcW w:w="1967" w:type="dxa"/>
            <w:tcBorders/>
            <w:vAlign w:val="center"/>
          </w:tcPr>
          <w:p>
            <w:pPr>
              <w:pStyle w:val="TableContents"/>
              <w:bidi w:val="0"/>
              <w:spacing w:before="0" w:after="0"/>
              <w:jc w:val="left"/>
              <w:rPr/>
            </w:pPr>
            <w:r>
              <w:rPr/>
              <w:t> </w:t>
            </w:r>
          </w:p>
          <w:tbl>
            <w:tblPr>
              <w:tblW w:w="1831" w:type="dxa"/>
              <w:jc w:val="left"/>
              <w:tblInd w:w="0" w:type="dxa"/>
              <w:tblLayout w:type="fixed"/>
              <w:tblCellMar>
                <w:top w:w="28" w:type="dxa"/>
                <w:left w:w="28" w:type="dxa"/>
                <w:bottom w:w="28" w:type="dxa"/>
                <w:right w:w="28" w:type="dxa"/>
              </w:tblCellMar>
            </w:tblPr>
            <w:tblGrid>
              <w:gridCol w:w="1831"/>
            </w:tblGrid>
            <w:tr>
              <w:trPr/>
              <w:tc>
                <w:tcPr>
                  <w:tcW w:w="1831" w:type="dxa"/>
                  <w:tcBorders/>
                  <w:vAlign w:val="center"/>
                </w:tcPr>
                <w:p>
                  <w:pPr>
                    <w:pStyle w:val="TableContents"/>
                    <w:bidi w:val="0"/>
                    <w:spacing w:before="0" w:after="0"/>
                    <w:jc w:val="left"/>
                    <w:rPr/>
                  </w:pPr>
                  <w:r>
                    <w:rPr/>
                    <w:t>James S. Morrow</w:t>
                  </w:r>
                </w:p>
              </w:tc>
            </w:tr>
          </w:tbl>
          <w:p>
            <w:pPr>
              <w:pStyle w:val="TableContents"/>
              <w:bidi w:val="0"/>
              <w:spacing w:before="0" w:after="283"/>
              <w:jc w:val="left"/>
              <w:rPr/>
            </w:pPr>
            <w:r>
              <w:rPr/>
            </w:r>
          </w:p>
        </w:tc>
        <w:tc>
          <w:tcPr>
            <w:tcW w:w="19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9"/>
        <w:gridCol w:w="4406"/>
      </w:tblGrid>
      <w:tr>
        <w:trPr/>
        <w:tc>
          <w:tcPr>
            <w:tcW w:w="579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James S. Morrow</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James S. Morrow</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06" w:type="dxa"/>
            <w:tcBorders/>
            <w:vAlign w:val="center"/>
          </w:tcPr>
          <w:p>
            <w:pPr>
              <w:pStyle w:val="TableContents"/>
              <w:bidi w:val="0"/>
              <w:spacing w:before="0" w:after="283"/>
              <w:jc w:val="left"/>
              <w:rPr>
                <w:sz w:val="4"/>
                <w:szCs w:val="4"/>
              </w:rPr>
            </w:pPr>
            <w:r>
              <w:rPr>
                <w:sz w:val="4"/>
                <w:szCs w:val="4"/>
              </w:rPr>
            </w:r>
          </w:p>
        </w:tc>
      </w:tr>
    </w:tbl>
    <w:tbl>
      <w:tblPr>
        <w:tblW w:w="3586" w:type="dxa"/>
        <w:jc w:val="left"/>
        <w:tblInd w:w="0" w:type="dxa"/>
        <w:tblLayout w:type="fixed"/>
        <w:tblCellMar>
          <w:top w:w="28" w:type="dxa"/>
          <w:left w:w="28" w:type="dxa"/>
          <w:bottom w:w="28" w:type="dxa"/>
          <w:right w:w="28" w:type="dxa"/>
        </w:tblCellMar>
      </w:tblPr>
      <w:tblGrid>
        <w:gridCol w:w="3586"/>
      </w:tblGrid>
      <w:tr>
        <w:trPr/>
        <w:tc>
          <w:tcPr>
            <w:tcW w:w="3586" w:type="dxa"/>
            <w:tcBorders/>
            <w:vAlign w:val="center"/>
          </w:tcPr>
          <w:p>
            <w:pPr>
              <w:pStyle w:val="TableContents"/>
              <w:bidi w:val="0"/>
              <w:spacing w:before="0" w:after="283"/>
              <w:jc w:val="center"/>
              <w:rPr>
                <w:b/>
              </w:rPr>
            </w:pPr>
            <w:r>
              <w:rPr>
                <w:b/>
              </w:rPr>
              <w:t xml:space="preserve">Exhibit Information </w:t>
            </w:r>
          </w:p>
        </w:tc>
      </w:tr>
      <w:tr>
        <w:trPr/>
        <w:tc>
          <w:tcPr>
            <w:tcW w:w="3586" w:type="dxa"/>
            <w:tcBorders/>
            <w:vAlign w:val="center"/>
          </w:tcPr>
          <w:p>
            <w:pPr>
              <w:pStyle w:val="TableContents"/>
              <w:bidi w:val="0"/>
              <w:spacing w:before="0" w:after="283"/>
              <w:jc w:val="left"/>
              <w:rPr/>
            </w:pPr>
            <w:r>
              <w:rPr/>
              <w:t>Exhibit 99.1 - Joint Filing Statement</w:t>
            </w:r>
          </w:p>
        </w:tc>
      </w:tr>
    </w:tbl>
    <w:p>
      <w:pPr>
        <w:pStyle w:val="TextBody"/>
        <w:bidi w:val="0"/>
        <w:spacing w:before="0" w:after="0"/>
        <w:jc w:val="right"/>
        <w:rPr>
          <w:rFonts w:ascii="Times New Roman;Times;serif" w:hAnsi="Times New Roman;Times;serif"/>
          <w:b/>
          <w:color w:val="000000"/>
          <w:sz w:val="20"/>
        </w:rPr>
      </w:pPr>
      <w:bookmarkStart w:id="20" w:name="exhbit99-1.htm"/>
      <w:bookmarkStart w:id="21" w:name="ksexhbit991"/>
      <w:bookmarkEnd w:id="20"/>
      <w:bookmarkEnd w:id="21"/>
      <w:r>
        <w:rPr>
          <w:rFonts w:ascii="Times New Roman;Times;serif" w:hAnsi="Times New Roman;Times;serif"/>
          <w:b/>
          <w:color w:val="000000"/>
          <w:sz w:val="20"/>
        </w:rPr>
        <w:t>Exhibit 99.1</w:t>
      </w:r>
      <w:r>
        <w:br w:type="page"/>
      </w:r>
    </w:p>
    <w:p>
      <w:pPr>
        <w:pStyle w:val="TextBody"/>
        <w:bidi w:val="0"/>
        <w:spacing w:before="0" w:after="0"/>
        <w:jc w:val="center"/>
        <w:rPr>
          <w:b/>
        </w:rPr>
      </w:pPr>
      <w:r>
        <w:rPr>
          <w:b/>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JOINT FILING STATEMENT</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PURSUANT TO RULE 13d-1(k)</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Dated: May 15, 2026</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Callodine Capital Management, LP</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By: Callodine Capital Management, LLC,</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its General Partner</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w:t>
      </w:r>
      <w:r>
        <w:rPr>
          <w:rFonts w:ascii="Times New Roman;Times;serif" w:hAnsi="Times New Roman;Times;serif"/>
          <w:color w:val="000000"/>
          <w:sz w:val="20"/>
          <w:u w:val="single"/>
        </w:rPr>
        <w:t>/s/ James S. Morrow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James S. Morrow, Managing Member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James S. Morrow</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w:t>
      </w:r>
      <w:r>
        <w:rPr>
          <w:rFonts w:ascii="Times New Roman;Times;serif" w:hAnsi="Times New Roman;Times;serif"/>
          <w:color w:val="000000"/>
          <w:sz w:val="20"/>
          <w:u w:val="single"/>
        </w:rPr>
        <w:t>/s/ James S. Morrow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James S. Morrow</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1190</Words>
  <Characters>6241</Characters>
  <CharactersWithSpaces>7462</CharactersWithSpaces>
  <Paragraphs>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