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color w:val="auto"/>
        </w:rPr>
        <w:t>________________________________________________</w:t>
      </w:r>
    </w:p>
    <w:p>
      <w:pPr>
        <w:spacing w:after="0" w:line="1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color w:val="auto"/>
        </w:rPr>
        <w:t>________________________________________________</w:t>
      </w:r>
    </w:p>
    <w:p>
      <w:pPr>
        <w:spacing w:after="0" w:line="239" w:lineRule="exact"/>
        <w:rPr>
          <w:sz w:val="24"/>
          <w:szCs w:val="24"/>
          <w:color w:val="auto"/>
        </w:rPr>
      </w:pPr>
    </w:p>
    <w:p>
      <w:pPr>
        <w:ind w:left="460" w:right="120" w:hanging="331"/>
        <w:spacing w:after="0" w:line="238"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4, 2026</w:t>
      </w:r>
    </w:p>
    <w:p>
      <w:pPr>
        <w:spacing w:after="0" w:line="6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80" w:right="100" w:hanging="330"/>
        <w:spacing w:after="0" w:line="238"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7"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29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440" w:type="dxa"/>
            <w:vAlign w:val="bottom"/>
          </w:tcPr>
          <w:p>
            <w:pPr>
              <w:spacing w:after="0"/>
              <w:rPr>
                <w:sz w:val="17"/>
                <w:szCs w:val="17"/>
                <w:color w:val="auto"/>
              </w:rPr>
            </w:pPr>
          </w:p>
        </w:tc>
      </w:tr>
      <w:tr>
        <w:trPr>
          <w:trHeight w:val="376"/>
        </w:trPr>
        <w:tc>
          <w:tcPr>
            <w:tcW w:w="2100" w:type="dxa"/>
            <w:vAlign w:val="bottom"/>
          </w:tcPr>
          <w:p>
            <w:pPr>
              <w:spacing w:after="0"/>
              <w:rPr>
                <w:sz w:val="24"/>
                <w:szCs w:val="24"/>
                <w:color w:val="auto"/>
              </w:rPr>
            </w:pPr>
          </w:p>
        </w:tc>
        <w:tc>
          <w:tcPr>
            <w:tcW w:w="6400" w:type="dxa"/>
            <w:vAlign w:val="bottom"/>
            <w:gridSpan w:val="6"/>
          </w:tcPr>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Commission File Number: 001-06024</w:t>
            </w:r>
          </w:p>
        </w:tc>
      </w:tr>
      <w:tr>
        <w:trPr>
          <w:trHeight w:val="188"/>
        </w:trPr>
        <w:tc>
          <w:tcPr>
            <w:tcW w:w="2100" w:type="dxa"/>
            <w:vAlign w:val="bottom"/>
          </w:tcPr>
          <w:p>
            <w:pPr>
              <w:spacing w:after="0"/>
              <w:rPr>
                <w:sz w:val="16"/>
                <w:szCs w:val="16"/>
                <w:color w:val="auto"/>
              </w:rPr>
            </w:pPr>
          </w:p>
        </w:tc>
        <w:tc>
          <w:tcPr>
            <w:tcW w:w="4960" w:type="dxa"/>
            <w:vAlign w:val="bottom"/>
            <w:gridSpan w:val="5"/>
          </w:tcPr>
          <w:p>
            <w:pPr>
              <w:jc w:val="center"/>
              <w:ind w:left="478"/>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tc>
        <w:tc>
          <w:tcPr>
            <w:tcW w:w="1440" w:type="dxa"/>
            <w:vAlign w:val="bottom"/>
          </w:tcPr>
          <w:p>
            <w:pPr>
              <w:spacing w:after="0"/>
              <w:rPr>
                <w:sz w:val="16"/>
                <w:szCs w:val="16"/>
                <w:color w:val="auto"/>
              </w:rPr>
            </w:pPr>
          </w:p>
        </w:tc>
      </w:tr>
      <w:tr>
        <w:trPr>
          <w:trHeight w:val="582"/>
        </w:trPr>
        <w:tc>
          <w:tcPr>
            <w:tcW w:w="8500" w:type="dxa"/>
            <w:vAlign w:val="bottom"/>
            <w:gridSpan w:val="7"/>
          </w:tcPr>
          <w:p>
            <w:pPr>
              <w:jc w:val="center"/>
              <w:ind w:left="1108"/>
              <w:spacing w:after="0"/>
              <w:rPr>
                <w:sz w:val="20"/>
                <w:szCs w:val="20"/>
                <w:color w:val="auto"/>
              </w:rPr>
            </w:pPr>
            <w:r>
              <w:rPr>
                <w:rFonts w:ascii="Times New Roman" w:cs="Times New Roman" w:eastAsia="Times New Roman" w:hAnsi="Times New Roman"/>
                <w:sz w:val="43"/>
                <w:szCs w:val="43"/>
                <w:b w:val="1"/>
                <w:bCs w:val="1"/>
                <w:color w:val="auto"/>
              </w:rPr>
              <w:t>WOLVERINE WORLD WIDE, INC.</w:t>
            </w:r>
          </w:p>
        </w:tc>
      </w:tr>
      <w:tr>
        <w:trPr>
          <w:trHeight w:val="216"/>
        </w:trPr>
        <w:tc>
          <w:tcPr>
            <w:tcW w:w="2100" w:type="dxa"/>
            <w:vAlign w:val="bottom"/>
          </w:tcPr>
          <w:p>
            <w:pPr>
              <w:spacing w:after="0"/>
              <w:rPr>
                <w:sz w:val="18"/>
                <w:szCs w:val="18"/>
                <w:color w:val="auto"/>
              </w:rPr>
            </w:pPr>
          </w:p>
        </w:tc>
        <w:tc>
          <w:tcPr>
            <w:tcW w:w="6400" w:type="dxa"/>
            <w:vAlign w:val="bottom"/>
            <w:gridSpan w:val="6"/>
          </w:tcPr>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188"/>
        </w:trPr>
        <w:tc>
          <w:tcPr>
            <w:tcW w:w="2100" w:type="dxa"/>
            <w:vAlign w:val="bottom"/>
          </w:tcPr>
          <w:p>
            <w:pPr>
              <w:spacing w:after="0"/>
              <w:rPr>
                <w:sz w:val="16"/>
                <w:szCs w:val="16"/>
                <w:color w:val="auto"/>
              </w:rPr>
            </w:pPr>
          </w:p>
        </w:tc>
        <w:tc>
          <w:tcPr>
            <w:tcW w:w="4960" w:type="dxa"/>
            <w:vAlign w:val="bottom"/>
            <w:gridSpan w:val="5"/>
          </w:tcPr>
          <w:p>
            <w:pPr>
              <w:jc w:val="center"/>
              <w:ind w:left="478"/>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tc>
        <w:tc>
          <w:tcPr>
            <w:tcW w:w="1440" w:type="dxa"/>
            <w:vAlign w:val="bottom"/>
          </w:tcPr>
          <w:p>
            <w:pPr>
              <w:spacing w:after="0"/>
              <w:rPr>
                <w:sz w:val="16"/>
                <w:szCs w:val="16"/>
                <w:color w:val="auto"/>
              </w:rPr>
            </w:pPr>
          </w:p>
        </w:tc>
      </w:tr>
      <w:tr>
        <w:trPr>
          <w:trHeight w:val="352"/>
        </w:trPr>
        <w:tc>
          <w:tcPr>
            <w:tcW w:w="2100" w:type="dxa"/>
            <w:vAlign w:val="bottom"/>
          </w:tcPr>
          <w:p>
            <w:pPr>
              <w:spacing w:after="0"/>
              <w:rPr>
                <w:sz w:val="24"/>
                <w:szCs w:val="24"/>
                <w:color w:val="auto"/>
              </w:rPr>
            </w:pPr>
          </w:p>
        </w:tc>
        <w:tc>
          <w:tcPr>
            <w:tcW w:w="168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gridSpan w:val="3"/>
          </w:tcPr>
          <w:p>
            <w:pPr>
              <w:jc w:val="right"/>
              <w:ind w:right="548"/>
              <w:spacing w:after="0"/>
              <w:rPr>
                <w:sz w:val="20"/>
                <w:szCs w:val="20"/>
                <w:color w:val="auto"/>
              </w:rPr>
            </w:pPr>
            <w:r>
              <w:rPr>
                <w:rFonts w:ascii="Times New Roman" w:cs="Times New Roman" w:eastAsia="Times New Roman" w:hAnsi="Times New Roman"/>
                <w:sz w:val="18"/>
                <w:szCs w:val="18"/>
                <w:b w:val="1"/>
                <w:bCs w:val="1"/>
                <w:color w:val="auto"/>
              </w:rPr>
              <w:t>38-1185150</w:t>
            </w:r>
          </w:p>
        </w:tc>
      </w:tr>
      <w:tr>
        <w:trPr>
          <w:trHeight w:val="188"/>
        </w:trPr>
        <w:tc>
          <w:tcPr>
            <w:tcW w:w="5920" w:type="dxa"/>
            <w:vAlign w:val="bottom"/>
            <w:gridSpan w:val="4"/>
          </w:tcPr>
          <w:p>
            <w:pPr>
              <w:jc w:val="center"/>
              <w:ind w:right="8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0" w:type="dxa"/>
            <w:vAlign w:val="bottom"/>
          </w:tcPr>
          <w:p>
            <w:pPr>
              <w:spacing w:after="0"/>
              <w:rPr>
                <w:sz w:val="16"/>
                <w:szCs w:val="16"/>
                <w:color w:val="auto"/>
              </w:rPr>
            </w:pPr>
          </w:p>
        </w:tc>
        <w:tc>
          <w:tcPr>
            <w:tcW w:w="234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9341 Courtland Drive N.E.</w:t>
            </w:r>
          </w:p>
        </w:tc>
        <w:tc>
          <w:tcPr>
            <w:tcW w:w="1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Rockford</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Michigan</w:t>
            </w:r>
          </w:p>
        </w:tc>
        <w:tc>
          <w:tcPr>
            <w:tcW w:w="2580" w:type="dxa"/>
            <w:vAlign w:val="bottom"/>
            <w:gridSpan w:val="3"/>
          </w:tcPr>
          <w:p>
            <w:pPr>
              <w:jc w:val="right"/>
              <w:ind w:right="748"/>
              <w:spacing w:after="0"/>
              <w:rPr>
                <w:sz w:val="20"/>
                <w:szCs w:val="20"/>
                <w:color w:val="auto"/>
              </w:rPr>
            </w:pPr>
            <w:r>
              <w:rPr>
                <w:rFonts w:ascii="Times New Roman" w:cs="Times New Roman" w:eastAsia="Times New Roman" w:hAnsi="Times New Roman"/>
                <w:sz w:val="18"/>
                <w:szCs w:val="18"/>
                <w:b w:val="1"/>
                <w:bCs w:val="1"/>
                <w:color w:val="auto"/>
              </w:rPr>
              <w:t>49351</w:t>
            </w:r>
          </w:p>
        </w:tc>
      </w:tr>
      <w:tr>
        <w:trPr>
          <w:trHeight w:val="188"/>
        </w:trPr>
        <w:tc>
          <w:tcPr>
            <w:tcW w:w="3780" w:type="dxa"/>
            <w:vAlign w:val="bottom"/>
            <w:gridSpan w:val="2"/>
          </w:tcPr>
          <w:p>
            <w:pPr>
              <w:jc w:val="center"/>
              <w:ind w:left="114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4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(Zip Code)</w:t>
            </w:r>
          </w:p>
        </w:tc>
      </w:tr>
      <w:tr>
        <w:trPr>
          <w:trHeight w:val="392"/>
        </w:trPr>
        <w:tc>
          <w:tcPr>
            <w:tcW w:w="2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(616) 866-5500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2100" w:type="dxa"/>
            <w:vAlign w:val="bottom"/>
          </w:tcPr>
          <w:p>
            <w:pPr>
              <w:spacing w:after="0"/>
              <w:rPr>
                <w:sz w:val="15"/>
                <w:szCs w:val="15"/>
                <w:color w:val="auto"/>
              </w:rPr>
            </w:pPr>
          </w:p>
        </w:tc>
        <w:tc>
          <w:tcPr>
            <w:tcW w:w="6400" w:type="dxa"/>
            <w:vAlign w:val="bottom"/>
            <w:gridSpan w:val="6"/>
          </w:tcPr>
          <w:p>
            <w:pPr>
              <w:jc w:val="center"/>
              <w:ind w:right="8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188"/>
        </w:trPr>
        <w:tc>
          <w:tcPr>
            <w:tcW w:w="2100" w:type="dxa"/>
            <w:vAlign w:val="bottom"/>
          </w:tcPr>
          <w:p>
            <w:pPr>
              <w:spacing w:after="0"/>
              <w:rPr>
                <w:sz w:val="16"/>
                <w:szCs w:val="16"/>
                <w:color w:val="auto"/>
              </w:rPr>
            </w:pPr>
          </w:p>
        </w:tc>
        <w:tc>
          <w:tcPr>
            <w:tcW w:w="4960" w:type="dxa"/>
            <w:vAlign w:val="bottom"/>
            <w:gridSpan w:val="5"/>
          </w:tcPr>
          <w:p>
            <w:pPr>
              <w:jc w:val="center"/>
              <w:ind w:left="458"/>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tc>
        <w:tc>
          <w:tcPr>
            <w:tcW w:w="1440" w:type="dxa"/>
            <w:vAlign w:val="bottom"/>
          </w:tcPr>
          <w:p>
            <w:pPr>
              <w:spacing w:after="0"/>
              <w:rPr>
                <w:sz w:val="16"/>
                <w:szCs w:val="16"/>
                <w:color w:val="auto"/>
              </w:rPr>
            </w:pPr>
          </w:p>
        </w:tc>
      </w:tr>
    </w:tbl>
    <w:p>
      <w:pPr>
        <w:spacing w:after="0" w:line="16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8" w:lineRule="exact"/>
        <w:rPr>
          <w:sz w:val="24"/>
          <w:szCs w:val="24"/>
          <w:color w:val="auto"/>
        </w:rPr>
      </w:pPr>
    </w:p>
    <w:tbl>
      <w:tblPr>
        <w:tblLayout w:type="fixed"/>
        <w:tblInd w:w="188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0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Title of each class</w:t>
            </w:r>
          </w:p>
        </w:tc>
        <w:tc>
          <w:tcPr>
            <w:tcW w:w="2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Trading symbol</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63"/>
        </w:trPr>
        <w:tc>
          <w:tcPr>
            <w:tcW w:w="26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500" w:type="dxa"/>
            <w:vAlign w:val="bottom"/>
          </w:tcPr>
          <w:p>
            <w:pPr>
              <w:spacing w:after="0"/>
              <w:rPr>
                <w:sz w:val="22"/>
                <w:szCs w:val="22"/>
                <w:color w:val="auto"/>
              </w:rPr>
            </w:pPr>
          </w:p>
        </w:tc>
        <w:tc>
          <w:tcPr>
            <w:tcW w:w="17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WWW</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680" w:type="dxa"/>
        <w:tblCellMar>
          <w:top w:w="0" w:type="dxa"/>
          <w:left w:w="0" w:type="dxa"/>
          <w:bottom w:w="0" w:type="dxa"/>
          <w:right w:w="0" w:type="dxa"/>
        </w:tblCellMar>
      </w:tblPr>
      <w:tr>
        <w:trPr>
          <w:trHeight w:val="22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8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There were 81,989,541 shares of common stock, $1 par value, outstanding as of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360680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938"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830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0" w:type="dxa"/>
            <w:vAlign w:val="bottom"/>
          </w:tcPr>
          <w:p>
            <w:pPr>
              <w:spacing w:after="0"/>
              <w:rPr>
                <w:sz w:val="20"/>
                <w:szCs w:val="20"/>
                <w:color w:val="auto"/>
              </w:rPr>
            </w:pPr>
          </w:p>
        </w:tc>
      </w:tr>
      <w:tr>
        <w:trPr>
          <w:trHeight w:val="34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Financial Information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30"/>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Financial Statements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29"/>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230"/>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22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Other Information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29"/>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Legal Proceedings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30"/>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Risk Factors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29"/>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30"/>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Other Information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29"/>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Exhibits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3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8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851"/>
        </w:trPr>
        <w:tc>
          <w:tcPr>
            <w:tcW w:w="1140" w:type="dxa"/>
            <w:vAlign w:val="bottom"/>
          </w:tcPr>
          <w:p>
            <w:pPr>
              <w:spacing w:after="0"/>
              <w:rPr>
                <w:sz w:val="24"/>
                <w:szCs w:val="24"/>
                <w:color w:val="auto"/>
              </w:rPr>
            </w:pPr>
          </w:p>
        </w:tc>
        <w:tc>
          <w:tcPr>
            <w:tcW w:w="830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83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document contains “forward-looking statements,” which are statements relating to future, not past, events. In this context, forward-looking statements often address management’s current beliefs, assumptions, expectations, estimates and projections about future business and financial performance, national, regional or global political, economic and market conditions, and the Company itself. Such statements often contain words such as “anticipates,” “believes,” “estimates,” “expects,” “forecasts,” “intends,” “is likely,” “plans,” “predicts,” “projects,” “should,” “will,” variations of such words, and similar expressions. Forward-looking statements, by their nature, address matters that are, to varying degrees, uncertain. Uncertainties that could cause the Company’s performance to differ materially from what is expressed in forward-looking statements include, but are not limited to, the following:</w:t>
      </w:r>
    </w:p>
    <w:p>
      <w:pPr>
        <w:spacing w:after="0" w:line="35" w:lineRule="exact"/>
        <w:rPr>
          <w:sz w:val="20"/>
          <w:szCs w:val="20"/>
          <w:color w:val="auto"/>
        </w:rPr>
      </w:pPr>
    </w:p>
    <w:p>
      <w:pPr>
        <w:ind w:left="420" w:hanging="331"/>
        <w:spacing w:after="0" w:line="290" w:lineRule="auto"/>
        <w:tabs>
          <w:tab w:leader="none" w:pos="41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geopolitical conflicts, employment rates, business conditions, interest rates, tax policies and other factors affecting consumer spending in the markets and regions in which the Company’s products are sold;</w:t>
      </w: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for any reason to effectively compete in global footwear, apparel and direct-to-consumer markets;</w:t>
      </w:r>
    </w:p>
    <w:p>
      <w:pPr>
        <w:spacing w:after="0" w:line="61"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maintain positive brand images and anticipate, understand and respond to changing footwear and apparel trends and consumer preferences;</w:t>
      </w:r>
    </w:p>
    <w:p>
      <w:pPr>
        <w:spacing w:after="0" w:line="61"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effectively manage inventory levels;</w:t>
      </w:r>
    </w:p>
    <w:p>
      <w:pPr>
        <w:spacing w:after="0" w:line="61"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or changes in duties, tariffs, quotas or applicable assessments in countries of import and export;</w:t>
      </w:r>
    </w:p>
    <w:p>
      <w:pPr>
        <w:spacing w:after="0" w:line="74"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fluctuations and currency restrictions;</w:t>
      </w:r>
    </w:p>
    <w:p>
      <w:pPr>
        <w:spacing w:after="0" w:line="61" w:lineRule="exact"/>
        <w:rPr>
          <w:rFonts w:ascii="Times New Roman" w:cs="Times New Roman" w:eastAsia="Times New Roman" w:hAnsi="Times New Roman"/>
          <w:sz w:val="17"/>
          <w:szCs w:val="17"/>
          <w:color w:val="auto"/>
        </w:rPr>
      </w:pPr>
    </w:p>
    <w:p>
      <w:pPr>
        <w:jc w:val="both"/>
        <w:ind w:left="420" w:hanging="331"/>
        <w:spacing w:after="0" w:line="265" w:lineRule="auto"/>
        <w:tabs>
          <w:tab w:leader="none" w:pos="41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and capacity constraints, production and distribution disruptions, including service interruptions at shipping and receiving ports, reduction in operating hours, labor shortages, and facility closures resulting in production delays at the Company’s manufacturers, quality issues, price increases or other risks associated with foreign sourcing;</w:t>
      </w:r>
    </w:p>
    <w:p>
      <w:pPr>
        <w:spacing w:after="0" w:line="13"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including the effect of inflationary pressures and availability of raw materials, inventories, services and labor for contract manufacturers;</w:t>
      </w:r>
    </w:p>
    <w:p>
      <w:pPr>
        <w:spacing w:after="0" w:line="74"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relationships with, including the loss of, significant wholesale customers;</w:t>
      </w:r>
    </w:p>
    <w:p>
      <w:pPr>
        <w:spacing w:after="0" w:line="61"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significant investment in, and performance of, the Company’s direct-to-consumer operations;</w:t>
      </w:r>
    </w:p>
    <w:p>
      <w:pPr>
        <w:spacing w:after="0" w:line="61"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expansion into new markets and complementary product categories;</w:t>
      </w:r>
    </w:p>
    <w:p>
      <w:pPr>
        <w:spacing w:after="0" w:line="61"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seasonality and unpredictable weather conditions;</w:t>
      </w:r>
    </w:p>
    <w:p>
      <w:pPr>
        <w:spacing w:after="0" w:line="61" w:lineRule="exact"/>
        <w:rPr>
          <w:rFonts w:ascii="Times New Roman" w:cs="Times New Roman" w:eastAsia="Times New Roman" w:hAnsi="Times New Roman"/>
          <w:sz w:val="17"/>
          <w:szCs w:val="17"/>
          <w:color w:val="auto"/>
        </w:rPr>
      </w:pPr>
    </w:p>
    <w:p>
      <w:pPr>
        <w:ind w:left="420" w:hanging="331"/>
        <w:spacing w:after="0" w:line="281" w:lineRule="auto"/>
        <w:tabs>
          <w:tab w:leader="none" w:pos="41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changes in general economic conditions, and/or the credit markets on the Company’s manufacturers, distributors, suppliers, joint venture partners and wholesale customers;</w:t>
      </w:r>
    </w:p>
    <w:p>
      <w:pPr>
        <w:spacing w:after="0" w:line="14"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Company’s effective tax rates;</w:t>
      </w:r>
    </w:p>
    <w:p>
      <w:pPr>
        <w:spacing w:after="0" w:line="61"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licensees or distributors to meet planned annual sales goals or to make timely payments to the Company;</w:t>
      </w:r>
    </w:p>
    <w:p>
      <w:pPr>
        <w:spacing w:after="0" w:line="61"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of doing business in developing countries and politically or economically volatile areas;</w:t>
      </w:r>
    </w:p>
    <w:p>
      <w:pPr>
        <w:spacing w:after="0" w:line="61"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secure and protect owned intellectual property or use licensed intellectual property;</w:t>
      </w:r>
    </w:p>
    <w:p>
      <w:pPr>
        <w:spacing w:after="0" w:line="61" w:lineRule="exact"/>
        <w:rPr>
          <w:rFonts w:ascii="Times New Roman" w:cs="Times New Roman" w:eastAsia="Times New Roman" w:hAnsi="Times New Roman"/>
          <w:sz w:val="17"/>
          <w:szCs w:val="17"/>
          <w:color w:val="auto"/>
        </w:rPr>
      </w:pPr>
    </w:p>
    <w:p>
      <w:pPr>
        <w:ind w:left="420" w:hanging="331"/>
        <w:spacing w:after="0" w:line="290" w:lineRule="auto"/>
        <w:tabs>
          <w:tab w:leader="none" w:pos="41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compliance and litigation risks, including with respect to federal, state and local laws and regulations relating to the protection of the environment, environmental remediation and other related costs, and environmental effects on human health;</w:t>
      </w:r>
    </w:p>
    <w:p>
      <w:pPr>
        <w:ind w:left="420" w:hanging="331"/>
        <w:spacing w:after="0" w:line="281" w:lineRule="auto"/>
        <w:tabs>
          <w:tab w:leader="none" w:pos="41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of breach of the Company’s databases or other systems, or those of its vendors, which contain certain personal information, payment card data or proprietary information, due to cyberattack or other similar events;</w:t>
      </w:r>
    </w:p>
    <w:p>
      <w:pPr>
        <w:spacing w:after="0" w:line="1"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actions, including new initiatives and ventures, acquisitions and dispositions, and the Company’s success in integrating acquired businesses;</w:t>
      </w:r>
    </w:p>
    <w:p>
      <w:pPr>
        <w:spacing w:after="0" w:line="61"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stockholder activism;</w:t>
      </w:r>
    </w:p>
    <w:p>
      <w:pPr>
        <w:spacing w:after="0" w:line="74"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impairment to goodwill and other intangibles;</w:t>
      </w:r>
    </w:p>
    <w:p>
      <w:pPr>
        <w:spacing w:after="0" w:line="61"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the Company's restructuring and realignment initiatives undertaken from time to time; and</w:t>
      </w:r>
    </w:p>
    <w:p>
      <w:pPr>
        <w:spacing w:after="0" w:line="61"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future pension funding requirements and pension expenses.</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These or other uncertainties could cause a material difference between an actual outcome and a forward-looking statement. The uncertainties included here are not exhaustive and are described in more detail in Part I, Item 1A: “Risk Factors” of the Company’s Annual Report on Form 10-K for the fiscal year ended January 3, 2026, (the “2025 Form 10-K”), filed with the SEC on February 27, 2026. Given these risks and uncertainties, investors should not place undue reliance on forward-looking statements as a prediction of actual results. The Company does not undertake an obligation to update, amend or clarify forward-looking statements, whether as a result of new information, future events or otherwise. Any standards of measurement and performance made in reference to our environmental, social, governance and other sustainability plans and goals are developing and based on assumptions, and no assurance can be given that any such plan, initiative, projection, goal, commitment, expectation or prospect can or will be achieved.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WOLVERINE WORLD WIDE, INC. AND SUBSIDIARIES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Condensed Statements of Operations and Comprehensive Income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2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Quarter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April 4,</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jc w:val="right"/>
              <w:ind w:right="332"/>
              <w:spacing w:after="0" w:line="129" w:lineRule="exact"/>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gridSpan w:val="3"/>
            <w:vMerge w:val="continue"/>
          </w:tcPr>
          <w:p>
            <w:pPr>
              <w:spacing w:after="0"/>
              <w:rPr>
                <w:sz w:val="12"/>
                <w:szCs w:val="12"/>
                <w:color w:val="auto"/>
              </w:rPr>
            </w:pPr>
          </w:p>
        </w:tc>
        <w:tc>
          <w:tcPr>
            <w:tcW w:w="960" w:type="dxa"/>
            <w:vAlign w:val="bottom"/>
          </w:tcPr>
          <w:p>
            <w:pPr>
              <w:jc w:val="right"/>
              <w:ind w:right="14"/>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jc w:val="right"/>
              <w:ind w:right="492"/>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80" w:type="dxa"/>
            <w:vAlign w:val="bottom"/>
            <w:tcBorders>
              <w:top w:val="single" w:sz="8" w:color="auto"/>
              <w:bottom w:val="single" w:sz="8" w:color="CCEEFF"/>
            </w:tcBorders>
          </w:tcPr>
          <w:p>
            <w:pPr>
              <w:spacing w:after="0"/>
              <w:rPr>
                <w:sz w:val="2"/>
                <w:szCs w:val="2"/>
                <w:color w:val="auto"/>
              </w:rPr>
            </w:pPr>
          </w:p>
        </w:tc>
        <w:tc>
          <w:tcPr>
            <w:tcW w:w="1240" w:type="dxa"/>
            <w:vAlign w:val="bottom"/>
            <w:tcBorders>
              <w:top w:val="single" w:sz="8" w:color="auto"/>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shd w:val="clear" w:color="auto" w:fill="CCEEFF"/>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and other related costs, net of recoveries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Wolverine World Wide, Inc.</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(see Note 3):</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20" w:type="dxa"/>
            <w:vAlign w:val="bottom"/>
            <w:gridSpan w:val="2"/>
          </w:tcPr>
          <w:p>
            <w:pPr>
              <w:spacing w:after="0"/>
              <w:rPr>
                <w:sz w:val="23"/>
                <w:szCs w:val="23"/>
                <w:color w:val="auto"/>
              </w:rPr>
            </w:pPr>
          </w:p>
        </w:tc>
        <w:tc>
          <w:tcPr>
            <w:tcW w:w="6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Wolverine World Wide, Inc.</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432"/>
        </w:trPr>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60" w:type="dxa"/>
            <w:vAlign w:val="bottom"/>
            <w:gridSpan w:val="2"/>
          </w:tcPr>
          <w:p>
            <w:pPr>
              <w:jc w:val="center"/>
              <w:ind w:left="2090"/>
              <w:spacing w:after="0"/>
              <w:rPr>
                <w:sz w:val="20"/>
                <w:szCs w:val="20"/>
                <w:color w:val="auto"/>
              </w:rPr>
            </w:pPr>
            <w:r>
              <w:rPr>
                <w:rFonts w:ascii="Times New Roman" w:cs="Times New Roman" w:eastAsia="Times New Roman" w:hAnsi="Times New Roman"/>
                <w:sz w:val="18"/>
                <w:szCs w:val="18"/>
                <w:color w:val="auto"/>
                <w:w w:val="88"/>
              </w:rPr>
              <w:t>4</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ind w:left="3640"/>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300" w:type="dxa"/>
            <w:vAlign w:val="bottom"/>
          </w:tcPr>
          <w:p>
            <w:pPr>
              <w:spacing w:after="0"/>
              <w:rPr>
                <w:sz w:val="13"/>
                <w:szCs w:val="13"/>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April 4,</w:t>
            </w:r>
          </w:p>
        </w:tc>
        <w:tc>
          <w:tcPr>
            <w:tcW w:w="28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January 3,</w:t>
            </w:r>
          </w:p>
        </w:tc>
        <w:tc>
          <w:tcPr>
            <w:tcW w:w="280" w:type="dxa"/>
            <w:vAlign w:val="bottom"/>
          </w:tcPr>
          <w:p>
            <w:pPr>
              <w:spacing w:after="0"/>
              <w:rPr>
                <w:sz w:val="13"/>
                <w:szCs w:val="13"/>
                <w:color w:val="auto"/>
              </w:rPr>
            </w:pPr>
          </w:p>
        </w:tc>
        <w:tc>
          <w:tcPr>
            <w:tcW w:w="116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471"/>
              <w:spacing w:after="0" w:line="125"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91"/>
              <w:spacing w:after="0" w:line="125"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91"/>
              <w:spacing w:after="0" w:line="125"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800" w:type="dxa"/>
            <w:vAlign w:val="bottom"/>
            <w:tcBorders>
              <w:top w:val="single" w:sz="8" w:color="auto"/>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receivable, less allowances of $6.2, $7.0 and $9.1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Finished products,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Raw materials and work-in-process,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$238.9, $235.9 and</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$233.8</w:t>
            </w:r>
          </w:p>
        </w:tc>
        <w:tc>
          <w:tcPr>
            <w:tcW w:w="4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Amortizable intangibles,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72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1,709.3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7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7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Borrowings under revolving credit agreements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pension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 par value $1, authorized 320,000,000 shares; 116,274,183, 115,472,632,</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and 114,435,216 shares issued</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shares in treasury; 34,284,642, 34,285,955, and 33,391,165 shares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Wolverine World Wide, Inc. stockholders’ equity</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Quarter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1"/>
                <w:szCs w:val="11"/>
                <w:color w:val="auto"/>
              </w:rPr>
            </w:pPr>
          </w:p>
        </w:tc>
        <w:tc>
          <w:tcPr>
            <w:tcW w:w="124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color w:val="auto"/>
              </w:rPr>
              <w:t>April 4,</w:t>
            </w:r>
          </w:p>
        </w:tc>
        <w:tc>
          <w:tcPr>
            <w:tcW w:w="400" w:type="dxa"/>
            <w:vAlign w:val="bottom"/>
          </w:tcPr>
          <w:p>
            <w:pPr>
              <w:spacing w:after="0"/>
              <w:rPr>
                <w:sz w:val="11"/>
                <w:szCs w:val="11"/>
                <w:color w:val="auto"/>
              </w:rPr>
            </w:pPr>
          </w:p>
        </w:tc>
        <w:tc>
          <w:tcPr>
            <w:tcW w:w="1040" w:type="dxa"/>
            <w:vAlign w:val="bottom"/>
          </w:tcPr>
          <w:p>
            <w:pPr>
              <w:jc w:val="right"/>
              <w:ind w:right="331"/>
              <w:spacing w:after="0" w:line="129" w:lineRule="exact"/>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492"/>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jc w:val="right"/>
              <w:ind w:right="491"/>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used in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SERP expense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Environmental and other related costs, net of cash payments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operating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under revolving credit agreements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revolving credit agreements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taxes paid under stock-based compensation plans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the quarter</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8"/>
          </w:tcPr>
          <w:p>
            <w:pPr>
              <w:jc w:val="right"/>
              <w:ind w:right="290"/>
              <w:spacing w:after="0"/>
              <w:rPr>
                <w:sz w:val="20"/>
                <w:szCs w:val="20"/>
                <w:color w:val="auto"/>
              </w:rPr>
            </w:pPr>
            <w:r>
              <w:rPr>
                <w:rFonts w:ascii="Times New Roman" w:cs="Times New Roman" w:eastAsia="Times New Roman" w:hAnsi="Times New Roman"/>
                <w:sz w:val="14"/>
                <w:szCs w:val="14"/>
                <w:color w:val="auto"/>
              </w:rPr>
              <w:t>Wolverine World Wide, Inc. Stockholders' Equity</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19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color w:val="auto"/>
                <w:w w:val="97"/>
              </w:rPr>
              <w:t>Non-</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2"/>
                <w:szCs w:val="12"/>
                <w:color w:val="auto"/>
              </w:rPr>
            </w:pPr>
          </w:p>
        </w:tc>
        <w:tc>
          <w:tcPr>
            <w:tcW w:w="8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190"/>
              <w:spacing w:after="0"/>
              <w:rPr>
                <w:sz w:val="20"/>
                <w:szCs w:val="20"/>
                <w:color w:val="auto"/>
              </w:rPr>
            </w:pPr>
            <w:r>
              <w:rPr>
                <w:rFonts w:ascii="Times New Roman" w:cs="Times New Roman" w:eastAsia="Times New Roman" w:hAnsi="Times New Roman"/>
                <w:sz w:val="14"/>
                <w:szCs w:val="14"/>
                <w:color w:val="auto"/>
              </w:rPr>
              <w:t>Treasury</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share and per share data)</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rPr>
              <w:t>Stock</w:t>
            </w:r>
          </w:p>
        </w:tc>
        <w:tc>
          <w:tcPr>
            <w:tcW w:w="9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Paid-In 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14"/>
              <w:spacing w:after="0" w:line="129" w:lineRule="exact"/>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190"/>
              <w:spacing w:after="0" w:line="129" w:lineRule="exact"/>
              <w:rPr>
                <w:sz w:val="20"/>
                <w:szCs w:val="20"/>
                <w:color w:val="auto"/>
              </w:rPr>
            </w:pPr>
            <w:r>
              <w:rPr>
                <w:rFonts w:ascii="Times New Roman" w:cs="Times New Roman" w:eastAsia="Times New Roman" w:hAnsi="Times New Roman"/>
                <w:sz w:val="14"/>
                <w:szCs w:val="14"/>
                <w:color w:val="auto"/>
              </w:rPr>
              <w:t>Loss</w:t>
            </w:r>
          </w:p>
        </w:tc>
        <w:tc>
          <w:tcPr>
            <w:tcW w:w="140" w:type="dxa"/>
            <w:vAlign w:val="bottom"/>
          </w:tcPr>
          <w:p>
            <w:pPr>
              <w:spacing w:after="0"/>
              <w:rPr>
                <w:sz w:val="12"/>
                <w:szCs w:val="12"/>
                <w:color w:val="auto"/>
              </w:rPr>
            </w:pPr>
          </w:p>
        </w:tc>
        <w:tc>
          <w:tcPr>
            <w:tcW w:w="860" w:type="dxa"/>
            <w:vAlign w:val="bottom"/>
            <w:gridSpan w:val="2"/>
          </w:tcPr>
          <w:p>
            <w:pPr>
              <w:jc w:val="center"/>
              <w:ind w:right="170"/>
              <w:spacing w:after="0" w:line="129" w:lineRule="exact"/>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2"/>
                <w:szCs w:val="12"/>
                <w:color w:val="auto"/>
              </w:rPr>
            </w:pPr>
          </w:p>
        </w:tc>
        <w:tc>
          <w:tcPr>
            <w:tcW w:w="820" w:type="dxa"/>
            <w:vAlign w:val="bottom"/>
          </w:tcPr>
          <w:p>
            <w:pPr>
              <w:jc w:val="center"/>
              <w:ind w:right="55"/>
              <w:spacing w:after="0" w:line="129" w:lineRule="exact"/>
              <w:rPr>
                <w:sz w:val="20"/>
                <w:szCs w:val="20"/>
                <w:color w:val="auto"/>
              </w:rPr>
            </w:pPr>
            <w:r>
              <w:rPr>
                <w:rFonts w:ascii="Times New Roman" w:cs="Times New Roman" w:eastAsia="Times New Roman" w:hAnsi="Times New Roman"/>
                <w:sz w:val="14"/>
                <w:szCs w:val="14"/>
                <w:color w:val="auto"/>
              </w:rPr>
              <w:t>Interest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600" w:type="dxa"/>
            <w:vAlign w:val="bottom"/>
            <w:tcBorders>
              <w:top w:val="single" w:sz="8" w:color="auto"/>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Shares issued, net of shares forfeited under stock</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plans (694,611 shares)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Shares issued for stock options exercised, net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(19,000 shares)</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($0.10 per share)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Issuance of treasury shares (1,420 shares)</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29,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Shares issued, net of shares forfeited under stock</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plans (790,404 shares)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Shares issued for stock options exercised, net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(11,147 shares)</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($0.10 per share)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treasury shares (1,313 shares)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4,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ind w:right="8660" w:firstLine="8"/>
        <w:spacing w:after="0" w:line="383" w:lineRule="auto"/>
        <w:tabs>
          <w:tab w:leader="none" w:pos="324"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Nature of Operations</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Wolverine World Wide, Inc. (the “Company”) is a leading designer, marketer and licensor of a broad range of quality casual footwear and apparel; performance outdoor and athletic footwear and apparel; kids’ footwear; industrial work shoes, boots and apparel; and uniform shoes and boots. The Company’s portfolio of owned and licensed brands includes: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products are marketed worldwide through owned operations, through licensing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arrangements with third parties, and through joint ventures. The Company also operates retail stores and eCommerce sites to market both its own brands and branded footwear and apparel from other manufacturers.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condensed financial statements have been prepared in accordance with accounting principles generally accepted in the United States (“U.S. GAAP”) for interim financial information and with the instructions to the Quarterly Report on Form 10-Q and Rule 10-01 of Regulation S-X. Accordingly, they do not include all of the information and notes required by U.S. GAAP for a complete presentation of the financial statements. In the opinion of management, all adjustments (consisting of normal recurring accruals) considered necessary for fair presentation have been included in the accompanying financial statements. For further information, refer to the consolidated financial statements and notes included in the Company’s 2025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fiscal year is the 52- or 53-week period that ends on the Saturday nearest to December 31. Fiscal year 2026 has 52 weeks and fiscal year 2025 had 53 weeks. The Company reports its quarterly results of operations on the basis of 13-week quarters for each of the first three fiscal quarters and a 13 or 14-week period for the fourth fiscal quarter. References to particular years or quarters refer to the Company’s fiscal years ended on the Saturday nearest to December 31 or the fiscal quarters within those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experiences moderate fluctuations in sales volume during the year, as reflected in quarterly revenue. The Company expects current seasonal sales patterns to continue in future years. The Company also experiences some fluctuation in its levels of working capital, typically reflecting an increase in net working capital requirements near the end of the first and third fiscal quarters as the Company builds inventory to support peak shipping periods. Historically, cash provided by operating activities is higher in the second half of the fiscal year due to collection of wholesale channel receivables and higher direct-to-consumer sales during the holiday season. The Company meets its working capital requirements through internal operating cash flows and, as needed, borrowings under its revolving credit facility, as discussed in more detail under the caption "Liquidity and Capital Resources" in Item 2: "Management's Discussion and Analysis of Financial Condition and Results of Operations". The Company's working capital could also be impacted by other events.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Accounting Standards Board (“FASB”) has issued the following Accounting Standards Updates (“ASUs”) that the Company has not yet adopted. The following is a summary and anticipated impact of adopting these new standards.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on the Financial Statements</w:t>
            </w:r>
          </w:p>
        </w:tc>
      </w:tr>
      <w:tr>
        <w:trPr>
          <w:trHeight w:val="169"/>
        </w:trPr>
        <w:tc>
          <w:tcPr>
            <w:tcW w:w="20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ASU 2024-03,</w:t>
            </w:r>
          </w:p>
        </w:tc>
        <w:tc>
          <w:tcPr>
            <w:tcW w:w="140" w:type="dxa"/>
            <w:vAlign w:val="bottom"/>
            <w:tcBorders>
              <w:top w:val="single" w:sz="8" w:color="CCEEFF"/>
            </w:tcBorders>
            <w:shd w:val="clear" w:color="auto" w:fill="CCEEFF"/>
          </w:tcPr>
          <w:p>
            <w:pPr>
              <w:spacing w:after="0"/>
              <w:rPr>
                <w:sz w:val="14"/>
                <w:szCs w:val="14"/>
                <w:color w:val="auto"/>
              </w:rPr>
            </w:pPr>
          </w:p>
        </w:tc>
        <w:tc>
          <w:tcPr>
            <w:tcW w:w="55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Requires disclosure about the types of costs and expenses included in</w:t>
            </w:r>
          </w:p>
        </w:tc>
        <w:tc>
          <w:tcPr>
            <w:tcW w:w="140" w:type="dxa"/>
            <w:vAlign w:val="bottom"/>
            <w:tcBorders>
              <w:top w:val="single" w:sz="8" w:color="CCEEFF"/>
            </w:tcBorders>
            <w:shd w:val="clear" w:color="auto" w:fill="CCEEFF"/>
          </w:tcPr>
          <w:p>
            <w:pPr>
              <w:spacing w:after="0"/>
              <w:rPr>
                <w:sz w:val="14"/>
                <w:szCs w:val="14"/>
                <w:color w:val="auto"/>
              </w:rPr>
            </w:pPr>
          </w:p>
        </w:tc>
        <w:tc>
          <w:tcPr>
            <w:tcW w:w="33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The Company is evaluating the impact of the</w:t>
            </w:r>
          </w:p>
        </w:tc>
      </w:tr>
      <w:tr>
        <w:trPr>
          <w:trHeight w:val="176"/>
        </w:trPr>
        <w:tc>
          <w:tcPr>
            <w:tcW w:w="22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Disaggregation of Income</w:t>
            </w:r>
          </w:p>
        </w:tc>
        <w:tc>
          <w:tcPr>
            <w:tcW w:w="5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certain expense captions presented on the income statement. The ASU is</w:t>
            </w:r>
          </w:p>
        </w:tc>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new standard on its Consolidated Financial</w:t>
            </w:r>
          </w:p>
        </w:tc>
      </w:tr>
      <w:tr>
        <w:trPr>
          <w:trHeight w:val="184"/>
        </w:trPr>
        <w:tc>
          <w:tcPr>
            <w:tcW w:w="22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Statement Expenses</w:t>
            </w:r>
          </w:p>
        </w:tc>
        <w:tc>
          <w:tcPr>
            <w:tcW w:w="56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effective for annual periods beginning after December 15, 2026, and interim</w:t>
            </w:r>
          </w:p>
        </w:tc>
        <w:tc>
          <w:tcPr>
            <w:tcW w:w="33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Statements.</w:t>
            </w:r>
          </w:p>
        </w:tc>
      </w:tr>
      <w:tr>
        <w:trPr>
          <w:trHeight w:val="180"/>
        </w:trPr>
        <w:tc>
          <w:tcPr>
            <w:tcW w:w="2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periods beginning after December 15, 2027, with early adoption permitted.</w:t>
            </w:r>
          </w:p>
        </w:tc>
        <w:tc>
          <w:tcPr>
            <w:tcW w:w="3340" w:type="dxa"/>
            <w:vAlign w:val="bottom"/>
            <w:shd w:val="clear" w:color="auto" w:fill="CCEEFF"/>
          </w:tcPr>
          <w:p>
            <w:pPr>
              <w:spacing w:after="0"/>
              <w:rPr>
                <w:sz w:val="15"/>
                <w:szCs w:val="15"/>
                <w:color w:val="auto"/>
              </w:rPr>
            </w:pPr>
          </w:p>
        </w:tc>
      </w:tr>
      <w:tr>
        <w:trPr>
          <w:trHeight w:val="175"/>
        </w:trPr>
        <w:tc>
          <w:tcPr>
            <w:tcW w:w="2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ASU should be applied either prospectively to financial statements</w:t>
            </w:r>
          </w:p>
        </w:tc>
        <w:tc>
          <w:tcPr>
            <w:tcW w:w="3340" w:type="dxa"/>
            <w:vAlign w:val="bottom"/>
            <w:shd w:val="clear" w:color="auto" w:fill="CCEEFF"/>
          </w:tcPr>
          <w:p>
            <w:pPr>
              <w:spacing w:after="0"/>
              <w:rPr>
                <w:sz w:val="15"/>
                <w:szCs w:val="15"/>
                <w:color w:val="auto"/>
              </w:rPr>
            </w:pPr>
          </w:p>
        </w:tc>
      </w:tr>
      <w:tr>
        <w:trPr>
          <w:trHeight w:val="184"/>
        </w:trPr>
        <w:tc>
          <w:tcPr>
            <w:tcW w:w="2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issued for reporting periods after the effective date or retrospectively to any</w:t>
            </w:r>
          </w:p>
        </w:tc>
        <w:tc>
          <w:tcPr>
            <w:tcW w:w="3340" w:type="dxa"/>
            <w:vAlign w:val="bottom"/>
            <w:shd w:val="clear" w:color="auto" w:fill="CCEEFF"/>
          </w:tcPr>
          <w:p>
            <w:pPr>
              <w:spacing w:after="0"/>
              <w:rPr>
                <w:sz w:val="16"/>
                <w:szCs w:val="16"/>
                <w:color w:val="auto"/>
              </w:rPr>
            </w:pPr>
          </w:p>
        </w:tc>
      </w:tr>
      <w:tr>
        <w:trPr>
          <w:trHeight w:val="234"/>
        </w:trPr>
        <w:tc>
          <w:tcPr>
            <w:tcW w:w="2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 all prior periods presented.</w:t>
            </w:r>
          </w:p>
        </w:tc>
        <w:tc>
          <w:tcPr>
            <w:tcW w:w="33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103" w:right="339" w:bottom="1440" w:gutter="0" w:footer="0" w:header="0"/>
        </w:sectPr>
      </w:pPr>
    </w:p>
    <w:p>
      <w:pPr>
        <w:ind w:left="20"/>
        <w:spacing w:after="0" w:line="234" w:lineRule="auto"/>
        <w:tabs>
          <w:tab w:leader="none" w:pos="2220" w:val="left"/>
        </w:tabs>
        <w:rPr>
          <w:sz w:val="20"/>
          <w:szCs w:val="20"/>
          <w:color w:val="auto"/>
        </w:rPr>
      </w:pPr>
      <w:r>
        <w:rPr>
          <w:rFonts w:ascii="Times New Roman" w:cs="Times New Roman" w:eastAsia="Times New Roman" w:hAnsi="Times New Roman"/>
          <w:sz w:val="18"/>
          <w:szCs w:val="18"/>
          <w:color w:val="auto"/>
        </w:rPr>
        <w:t>ASU 2025-06, Intangibles -</w:t>
      </w:r>
      <w:r>
        <w:rPr>
          <w:sz w:val="20"/>
          <w:szCs w:val="20"/>
          <w:color w:val="auto"/>
        </w:rPr>
        <w:tab/>
      </w:r>
      <w:r>
        <w:rPr>
          <w:rFonts w:ascii="Times New Roman" w:cs="Times New Roman" w:eastAsia="Times New Roman" w:hAnsi="Times New Roman"/>
          <w:sz w:val="17"/>
          <w:szCs w:val="17"/>
          <w:color w:val="auto"/>
        </w:rPr>
        <w:t>Modernizes the accounting for software costs with how software is</w:t>
      </w:r>
    </w:p>
    <w:p>
      <w:pPr>
        <w:ind w:left="20"/>
        <w:spacing w:after="0" w:line="215" w:lineRule="auto"/>
        <w:tabs>
          <w:tab w:leader="none" w:pos="2220" w:val="left"/>
        </w:tabs>
        <w:rPr>
          <w:sz w:val="20"/>
          <w:szCs w:val="20"/>
          <w:color w:val="auto"/>
        </w:rPr>
      </w:pPr>
      <w:r>
        <w:rPr>
          <w:rFonts w:ascii="Times New Roman" w:cs="Times New Roman" w:eastAsia="Times New Roman" w:hAnsi="Times New Roman"/>
          <w:sz w:val="18"/>
          <w:szCs w:val="18"/>
          <w:color w:val="auto"/>
        </w:rPr>
        <w:t>Goodwill and Other -</w:t>
      </w:r>
      <w:r>
        <w:rPr>
          <w:sz w:val="20"/>
          <w:szCs w:val="20"/>
          <w:color w:val="auto"/>
        </w:rPr>
        <w:tab/>
      </w:r>
      <w:r>
        <w:rPr>
          <w:rFonts w:ascii="Times New Roman" w:cs="Times New Roman" w:eastAsia="Times New Roman" w:hAnsi="Times New Roman"/>
          <w:sz w:val="17"/>
          <w:szCs w:val="17"/>
          <w:color w:val="auto"/>
        </w:rPr>
        <w:t>developed today, clarifies when to begin capitalizing costs and enhances</w:t>
      </w:r>
    </w:p>
    <w:p>
      <w:pPr>
        <w:ind w:left="20"/>
        <w:spacing w:after="0" w:line="219" w:lineRule="auto"/>
        <w:tabs>
          <w:tab w:leader="none" w:pos="2220" w:val="left"/>
        </w:tabs>
        <w:rPr>
          <w:sz w:val="20"/>
          <w:szCs w:val="20"/>
          <w:color w:val="auto"/>
        </w:rPr>
      </w:pPr>
      <w:r>
        <w:rPr>
          <w:rFonts w:ascii="Times New Roman" w:cs="Times New Roman" w:eastAsia="Times New Roman" w:hAnsi="Times New Roman"/>
          <w:sz w:val="18"/>
          <w:szCs w:val="18"/>
          <w:color w:val="auto"/>
        </w:rPr>
        <w:t>Internal-Use Software</w:t>
      </w:r>
      <w:r>
        <w:rPr>
          <w:sz w:val="20"/>
          <w:szCs w:val="20"/>
          <w:color w:val="auto"/>
        </w:rPr>
        <w:tab/>
      </w:r>
      <w:r>
        <w:rPr>
          <w:rFonts w:ascii="Times New Roman" w:cs="Times New Roman" w:eastAsia="Times New Roman" w:hAnsi="Times New Roman"/>
          <w:sz w:val="18"/>
          <w:szCs w:val="18"/>
          <w:color w:val="auto"/>
        </w:rPr>
        <w:t>disclosure requirements. The ASU is effective for interim and annual</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periods beginning after December 15, 2027, with early adoption permitted.</w:t>
      </w:r>
    </w:p>
    <w:p>
      <w:pPr>
        <w:spacing w:after="0" w:line="20" w:lineRule="exact"/>
        <w:rPr>
          <w:sz w:val="20"/>
          <w:szCs w:val="20"/>
          <w:color w:val="auto"/>
        </w:rPr>
      </w:pPr>
      <w:r>
        <w:rPr>
          <w:sz w:val="20"/>
          <w:szCs w:val="20"/>
          <w:color w:val="auto"/>
        </w:rPr>
        <w:br w:type="column"/>
      </w:r>
    </w:p>
    <w:p>
      <w:pPr>
        <w:ind w:right="80"/>
        <w:spacing w:after="0" w:line="224" w:lineRule="auto"/>
        <w:rPr>
          <w:sz w:val="20"/>
          <w:szCs w:val="20"/>
          <w:color w:val="auto"/>
        </w:rPr>
      </w:pPr>
      <w:r>
        <w:rPr>
          <w:rFonts w:ascii="Times New Roman" w:cs="Times New Roman" w:eastAsia="Times New Roman" w:hAnsi="Times New Roman"/>
          <w:sz w:val="18"/>
          <w:szCs w:val="18"/>
          <w:color w:val="auto"/>
        </w:rPr>
        <w:t>The Company is evaluating the impact of the new standard on its Consolidated Financial Statements.</w:t>
      </w:r>
    </w:p>
    <w:p>
      <w:pPr>
        <w:spacing w:after="0" w:line="382" w:lineRule="exact"/>
        <w:rPr>
          <w:sz w:val="20"/>
          <w:szCs w:val="20"/>
          <w:color w:val="auto"/>
        </w:rPr>
      </w:pPr>
    </w:p>
    <w:p>
      <w:pPr>
        <w:sectPr>
          <w:pgSz w:w="11900" w:h="16838" w:orient="portrait"/>
          <w:cols w:equalWidth="0" w:num="2">
            <w:col w:w="7640" w:space="280"/>
            <w:col w:w="3320"/>
          </w:cols>
          <w:pgMar w:left="320" w:top="1103" w:right="339" w:bottom="1440" w:gutter="0" w:footer="0" w:header="0"/>
          <w:type w:val="continuous"/>
        </w:sectPr>
      </w:pPr>
    </w:p>
    <w:p>
      <w:pPr>
        <w:spacing w:after="0" w:line="8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tcPr>
          <w:p>
            <w:pPr>
              <w:ind w:left="560"/>
              <w:spacing w:after="0"/>
              <w:rPr>
                <w:sz w:val="20"/>
                <w:szCs w:val="20"/>
                <w:color w:val="auto"/>
              </w:rPr>
            </w:pPr>
            <w:r>
              <w:rPr>
                <w:rFonts w:ascii="Times New Roman" w:cs="Times New Roman" w:eastAsia="Times New Roman" w:hAnsi="Times New Roman"/>
                <w:sz w:val="14"/>
                <w:szCs w:val="14"/>
                <w:color w:val="auto"/>
              </w:rPr>
              <w:t>Quarter Ended</w:t>
            </w:r>
          </w:p>
        </w:tc>
        <w:tc>
          <w:tcPr>
            <w:tcW w:w="0" w:type="dxa"/>
            <w:vAlign w:val="bottom"/>
          </w:tcPr>
          <w:p>
            <w:pPr>
              <w:spacing w:after="0"/>
              <w:rPr>
                <w:sz w:val="1"/>
                <w:szCs w:val="1"/>
                <w:color w:val="auto"/>
              </w:rPr>
            </w:pPr>
          </w:p>
        </w:tc>
      </w:tr>
      <w:tr>
        <w:trPr>
          <w:trHeight w:val="23"/>
        </w:trPr>
        <w:tc>
          <w:tcPr>
            <w:tcW w:w="8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220" w:type="dxa"/>
            <w:vAlign w:val="bottom"/>
          </w:tcPr>
          <w:p>
            <w:pPr>
              <w:spacing w:after="0"/>
              <w:rPr>
                <w:sz w:val="11"/>
                <w:szCs w:val="11"/>
                <w:color w:val="auto"/>
              </w:rPr>
            </w:pPr>
          </w:p>
        </w:tc>
        <w:tc>
          <w:tcPr>
            <w:tcW w:w="10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April 4,</w:t>
            </w:r>
          </w:p>
        </w:tc>
        <w:tc>
          <w:tcPr>
            <w:tcW w:w="200" w:type="dxa"/>
            <w:vAlign w:val="bottom"/>
          </w:tcPr>
          <w:p>
            <w:pPr>
              <w:spacing w:after="0"/>
              <w:rPr>
                <w:sz w:val="11"/>
                <w:szCs w:val="11"/>
                <w:color w:val="auto"/>
              </w:rPr>
            </w:pPr>
          </w:p>
        </w:tc>
        <w:tc>
          <w:tcPr>
            <w:tcW w:w="940" w:type="dxa"/>
            <w:vAlign w:val="bottom"/>
          </w:tcPr>
          <w:p>
            <w:pPr>
              <w:jc w:val="center"/>
              <w:ind w:right="114"/>
              <w:spacing w:after="0" w:line="129" w:lineRule="exact"/>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96"/>
        </w:trPr>
        <w:tc>
          <w:tcPr>
            <w:tcW w:w="886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Wolverine World Wide, Inc.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earnings allocated to non-vested restricted common stock</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 used in calculating basic and diluted earnings per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used in calculating diluted earnings per share</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quarters ended April 4, 2026 and March 29, 2025, 134,832 and 474,375 outstanding stock options, respectively, have not been included in the denominator for the computation of diluted earnings per share because they were anti-dilutive.</w:t>
      </w:r>
    </w:p>
    <w:p>
      <w:pPr>
        <w:spacing w:after="0" w:line="158" w:lineRule="exact"/>
        <w:rPr>
          <w:sz w:val="20"/>
          <w:szCs w:val="20"/>
          <w:color w:val="auto"/>
        </w:rPr>
      </w:pPr>
    </w:p>
    <w:p>
      <w:pPr>
        <w:ind w:right="6400" w:firstLine="8"/>
        <w:spacing w:after="0" w:line="383" w:lineRule="auto"/>
        <w:tabs>
          <w:tab w:leader="none" w:pos="3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INDEFINITE-LIVED INTANGIBLES </w:t>
      </w:r>
      <w:r>
        <w:rPr>
          <w:rFonts w:ascii="Times New Roman" w:cs="Times New Roman" w:eastAsia="Times New Roman" w:hAnsi="Times New Roman"/>
          <w:sz w:val="18"/>
          <w:szCs w:val="18"/>
          <w:color w:val="auto"/>
        </w:rPr>
        <w:t>The changes in the carrying amount of goodwill are as follows:</w:t>
      </w: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Quarter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April 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jc w:val="right"/>
              <w:ind w:right="337"/>
              <w:spacing w:after="0" w:line="129" w:lineRule="exact"/>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vMerge w:val="continue"/>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jc w:val="right"/>
              <w:ind w:right="497"/>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balance at beginning of the year</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effects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balance at end of the quarter</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 xml:space="preserve">Goodwill balances are net of accumulated impairment charges. Accumulated impairment charges were $48.4 million as of April 4, 2026 and March 29, 2025, and are related to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reporting unit, which is part of the Active Group reportable segment.</w:t>
      </w:r>
    </w:p>
    <w:p>
      <w:pPr>
        <w:spacing w:after="0" w:line="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indefinite-lived intangible assets, which comprise trade names and trademarks, totaled $178.1 million, $180.2 million, and $175.8 million as of April 4, 2026, January 3, 2026, and March 29, 2025, respectively. The Company conducted an</w:t>
      </w:r>
    </w:p>
    <w:p>
      <w:pPr>
        <w:sectPr>
          <w:pgSz w:w="11900" w:h="16838" w:orient="portrait"/>
          <w:cols w:equalWidth="0" w:num="1">
            <w:col w:w="11240"/>
          </w:cols>
          <w:pgMar w:left="320" w:top="11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interim impairment assessment as of April 4, 2026 and determined that there were no triggering events indicating impairment of the Company’s goodwill and indefinite-lived intangible assets.</w:t>
      </w:r>
    </w:p>
    <w:p>
      <w:pPr>
        <w:spacing w:after="0" w:line="10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For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reporting unit included in the fiscal year 2025 annual impairment test, the estimated fair value of the reporting unit exceeded the carrying value by 16%.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trade name was valued using the income approach, specifically the multi-period excess earnings method. The key assumptions used in the valuations were revenue growth, EBITDA margin, and the discount rate. Although the Company believes the estimates and assumptions used in the valuations were appropriate, it is possible assumptions could change in future periods. The risk of future impairment to the </w:t>
      </w:r>
      <w:r>
        <w:rPr>
          <w:rFonts w:ascii="Times New Roman" w:cs="Times New Roman" w:eastAsia="Times New Roman" w:hAnsi="Times New Roman"/>
          <w:sz w:val="18"/>
          <w:szCs w:val="18"/>
          <w:i w:val="1"/>
          <w:iCs w:val="1"/>
          <w:color w:val="auto"/>
        </w:rPr>
        <w:t>Sweaty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name and</w:t>
      </w:r>
      <w:r>
        <w:rPr>
          <w:rFonts w:ascii="Times New Roman" w:cs="Times New Roman" w:eastAsia="Times New Roman" w:hAnsi="Times New Roman"/>
          <w:sz w:val="18"/>
          <w:szCs w:val="18"/>
          <w:i w:val="1"/>
          <w:iCs w:val="1"/>
          <w:color w:val="auto"/>
        </w:rPr>
        <w:t xml:space="preserve"> 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depend on assumptions used in the determination of the trade name's and reporting unit's fair value,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 growth, EBITDA margin, taxes, depreciation and amortization margin, discount rate, and assumed tax rate, or if macroeconomic conditions deteriorate and adversely affect the values of the Company's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 and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reporting unit. A future impairment charge of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 and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reporting unit goodwill could have an adverse material effect on the Company's consolidated financial results. The carrying values of the Company’s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 indefinite-lived intangible asset and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reporting unit goodwill were $103.4 million and $55.1 million, respectively, as of April 4, 2026.</w:t>
      </w:r>
    </w:p>
    <w:p>
      <w:pPr>
        <w:spacing w:after="0" w:line="20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certain of its subsidiaries sell, on a continuous basis without recourse, their trade receivables to Rockford ARS, LLC (“Rockford ARS”), a wholly-owned bankruptcy-remote subsidiary of the Company. Rockford ARS entered into a receivables purchase agreement (“RPA”), to sell up to $125.0 million of receivables to certain purchasers (the “Purchasers”) on a recurring basis in exchange for cash (referred to as “capital” in the RPA) equal to the gross receivables transferred. The parties intend that the transfers of receivables to the Purchasers constitute purchases and sales of receivables. Rockford ARS has guaranteed to each Purchaser the prompt payment of sold receivables, and has granted a security interest in its assets for the benefit of the Purchasers. Under the RPA, which was amended on September 25, 2025 to extend the maturity date to September 25, 2028, each Purchaser’s share of capital accrues yield at a floating rate plus an applicable margin. The Company is the master servicer under the RPA, and is responsible for administering and collecting receivables.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proceeds of the RPA are classified as operating activities in the Company's consolidated condensed statement of cash flows. Cash received from collections of sold receivables may be used to fund additional purchases of receivables on a revolving basis or to return all or any portion of outstanding capital of the Purchasers. Subsequent collections of the pledged receivables, which have not been sold, will be classified as operating cash flows at the time of collection. Total receivables sold under the RPA were $149.1 million and $112.6 million for the quarters ended April 4, 2026 and March 29, 2025, respectively. Total cash collections under the RPA were $140.8 million and $122.5 million in the quarters ended April 4, 2026 and March 29, 2025, respectively. The fair value of the sold receivables approximated book value due to their credit quality and short-term nature, and as a result, no gain or loss on sale of receivables was recorded.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fiscal quarters ended April 4, 2026 and March 29, 2025, the amount sold to the Purchasers under the RPA was $120.7 million and $102.6 million, respectively, which was derecognized from the consolidated condensed balance sheets. As collateral against sold receivables, Rockford ARS maintains a certain level of unsold receivables, which were $41.6 million and $54.1 million as of the fiscal quarters ended April 4, 2026 and March 29, 2025, respectively.</w:t>
      </w:r>
    </w:p>
    <w:p>
      <w:pPr>
        <w:spacing w:after="0" w:line="176" w:lineRule="exact"/>
        <w:rPr>
          <w:sz w:val="20"/>
          <w:szCs w:val="20"/>
          <w:color w:val="auto"/>
        </w:rPr>
      </w:pPr>
    </w:p>
    <w:p>
      <w:pPr>
        <w:ind w:right="6520" w:firstLine="8"/>
        <w:spacing w:after="0" w:line="354" w:lineRule="auto"/>
        <w:tabs>
          <w:tab w:leader="none" w:pos="3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 and Performance Obligations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reports disaggregated revenue for the wholesale and direct-to-consumer sales channels, which are reconciled to the Company’s reportable segments. The wholesale channel includes royalty revenue, which operates in a similar manner as other wholesale revenue due to similar oversight and management, customer base, the performance obligation (footwear and apparel goods) and point in time completion of the performance obligation.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6"/>
          </w:tcPr>
          <w:p>
            <w:pPr>
              <w:jc w:val="center"/>
              <w:ind w:left="616"/>
              <w:spacing w:after="0"/>
              <w:rPr>
                <w:sz w:val="20"/>
                <w:szCs w:val="20"/>
                <w:color w:val="auto"/>
              </w:rPr>
            </w:pPr>
            <w:r>
              <w:rPr>
                <w:rFonts w:ascii="Times New Roman" w:cs="Times New Roman" w:eastAsia="Times New Roman" w:hAnsi="Times New Roman"/>
                <w:sz w:val="14"/>
                <w:szCs w:val="14"/>
                <w:color w:val="auto"/>
              </w:rPr>
              <w:t>Quarter Ended April 4, 2026</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color w:val="auto"/>
              </w:rPr>
              <w:t>Quarter Ended March 29, 2025</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Wholesale</w:t>
            </w: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color w:val="auto"/>
              </w:rPr>
              <w:t>Direct-to-</w:t>
            </w:r>
          </w:p>
        </w:tc>
        <w:tc>
          <w:tcPr>
            <w:tcW w:w="280" w:type="dxa"/>
            <w:vAlign w:val="bottom"/>
          </w:tcPr>
          <w:p>
            <w:pPr>
              <w:spacing w:after="0"/>
              <w:rPr>
                <w:sz w:val="11"/>
                <w:szCs w:val="11"/>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Wholesale</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Direct-to-Consumer</w:t>
            </w:r>
          </w:p>
        </w:tc>
        <w:tc>
          <w:tcPr>
            <w:tcW w:w="300" w:type="dxa"/>
            <w:vAlign w:val="bottom"/>
          </w:tcPr>
          <w:p>
            <w:pPr>
              <w:spacing w:after="0"/>
              <w:rPr>
                <w:sz w:val="11"/>
                <w:szCs w:val="11"/>
                <w:color w:val="auto"/>
              </w:rPr>
            </w:pPr>
          </w:p>
        </w:tc>
        <w:tc>
          <w:tcPr>
            <w:tcW w:w="8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color w:val="auto"/>
              </w:rPr>
              <w:t>Consumer</w:t>
            </w: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Group</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Group</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agreements to license symbolic intellectual property with minimum guarantees or fixed consideration. The Company was due $26.7 million of remaining fixed transaction price under its license agreements as of April 4, 2026, which it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expects to recognize per the terms of its contracts over the course of time through December 2028. The Company has elected to omit the remaining variable consideration under its license agreements given the Company recognizes revenue equal to what it has the right to invoice and that amount corresponds directly with the value to the customer of the Company’s performance to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 for Variable Consideration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recorded at the net sales price (“transaction price”), which includes estimates of variable consideration for which reserves are established. Components of variable consideration include trade discounts and allowances, product returns, customer markdowns, customer rebates and other sales incentives relating to the sale of the Company’s products. These reserves, as detailed below, are based on the amounts earned, or to be claimed on the related sales. These estimates take into consideration a range of possible outcomes, which are probability-weighted in accordance with the expected value method for relevant factors such as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respective underlying contracts. Revenue recognized during the fiscal periods presented related to changes in the Company’s contract liabilities was nominal.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balances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0" w:type="dxa"/>
            <w:vAlign w:val="bottom"/>
          </w:tcPr>
          <w:p>
            <w:pPr>
              <w:jc w:val="center"/>
              <w:ind w:left="362"/>
              <w:spacing w:after="0"/>
              <w:rPr>
                <w:sz w:val="20"/>
                <w:szCs w:val="20"/>
                <w:color w:val="auto"/>
              </w:rPr>
            </w:pPr>
            <w:r>
              <w:rPr>
                <w:rFonts w:ascii="Times New Roman" w:cs="Times New Roman" w:eastAsia="Times New Roman" w:hAnsi="Times New Roman"/>
                <w:sz w:val="14"/>
                <w:szCs w:val="14"/>
                <w:color w:val="auto"/>
              </w:rPr>
              <w:t>April 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January 3,</w:t>
            </w:r>
          </w:p>
        </w:tc>
        <w:tc>
          <w:tcPr>
            <w:tcW w:w="260" w:type="dxa"/>
            <w:vAlign w:val="bottom"/>
          </w:tcPr>
          <w:p>
            <w:pPr>
              <w:spacing w:after="0"/>
              <w:rPr>
                <w:sz w:val="13"/>
                <w:szCs w:val="13"/>
                <w:color w:val="auto"/>
              </w:rPr>
            </w:pP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1000" w:type="dxa"/>
            <w:vAlign w:val="bottom"/>
          </w:tcPr>
          <w:p>
            <w:pPr>
              <w:jc w:val="right"/>
              <w:ind w:right="62"/>
              <w:spacing w:after="0" w:line="125" w:lineRule="exact"/>
              <w:rPr>
                <w:sz w:val="20"/>
                <w:szCs w:val="20"/>
                <w:color w:val="auto"/>
              </w:rPr>
            </w:pPr>
            <w:r>
              <w:rPr>
                <w:rFonts w:ascii="Times New Roman" w:cs="Times New Roman" w:eastAsia="Times New Roman" w:hAnsi="Times New Roman"/>
                <w:sz w:val="14"/>
                <w:szCs w:val="14"/>
                <w:color w:val="auto"/>
              </w:rPr>
              <w:t>2026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6"/>
              <w:spacing w:after="0" w:line="125"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6"/>
              <w:spacing w:after="0" w:line="125"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returns reserve</w:t>
            </w:r>
          </w:p>
        </w:tc>
        <w:tc>
          <w:tcPr>
            <w:tcW w:w="100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sales incentives reserve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rebates liability</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advances liability</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variable consideration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initial estimates. If actual results in the future vary from initial estimates, the Company subsequently adjusts these estimates, which would affect net revenue and earnings in the period such variances become known.</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consists of the following obligations: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4,</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January 3,</w:t>
            </w:r>
          </w:p>
        </w:tc>
        <w:tc>
          <w:tcPr>
            <w:tcW w:w="280" w:type="dxa"/>
            <w:vAlign w:val="bottom"/>
          </w:tcPr>
          <w:p>
            <w:pPr>
              <w:spacing w:after="0"/>
              <w:rPr>
                <w:sz w:val="13"/>
                <w:szCs w:val="13"/>
                <w:color w:val="auto"/>
              </w:rPr>
            </w:pPr>
          </w:p>
        </w:tc>
        <w:tc>
          <w:tcPr>
            <w:tcW w:w="1160" w:type="dxa"/>
            <w:vAlign w:val="bottom"/>
          </w:tcPr>
          <w:p>
            <w:pPr>
              <w:jc w:val="right"/>
              <w:ind w:right="335"/>
              <w:spacing w:after="0"/>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9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2026</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95"/>
              <w:spacing w:after="0" w:line="125"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95"/>
              <w:spacing w:after="0" w:line="125"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Facility</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4.000% interest, due August 15, 2029</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revolving credit agreements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24, 2025, the Company entered into a 2025 Replacement Facility Amendment and Reaffirmation Agreement (the “Credit Agreement”) to replace the existing revolving credit facility and term loan A facility. The new Credit Agreement provides for a revolving credit facility of $600.0 million (the “Revolving Facility”). The maturity date of the loans under the Revolving Facility is September 24, 2030. The Credit Agreement provides for a debt capacity of up to an aggregate debt amount (including existing revolver commitment amounts in addition to permitted incremental debt) not to exceed $850.0 million.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Facility also includes a $75.0 million swingline subfacility and a $50.0 million letter of credit subfacility. The Company had outstanding letters of credit under the Revolving Facility (or the prior revolving credit facility, as applicable) of $15.1 million, $14.5 million and $6.0 million as of April 4, 2026, January 3, 2026 and March 29, 2025, respectively. These outstanding letters of credit reduce the borrowing capacity under the Revolving Facility.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under the Revolving Facility bear interest at a variable rate equal to either (i) the applicable base rate or (ii) the Secured Overnight Financing Rate (“SOFR”), plus in each case an interest margin determined by the Company’s net total leverage ratio, with a range of base rate margins from 0.25% to 1.25%, and a range of SOFR margins from 1.25% to 2.25%. At April 4, 2026, the Revolving Facility had a weighted-average interest rate of 5.58%.</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1" w:name="page12"/>
    <w:bookmarkEnd w:id="1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obligations of the Company pursuant to the Credit Agreement are guaranteed by substantially all of the Company’s material domestic subsidiaries and secured by substantially all of the personal and real property of the Company and its material domestic subsidiaries, subject to certain exceptions.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Revolving Facility also contains certain affirmative and negative covenants, including covenants that limit the ability of the Company and its Restricted Subsidiaries to, among other things: incur or guarantee indebtedness; incur liens; pay dividends or repurchase stock; enter into transactions with affiliates; consummate asset sales, acquisitions or mergers; prepay certain other indebtedness; or make investments, as well as covenants restricting the activities of certain foreign subsidiaries of the Company that hold intellectual property related assets. Further, the Revolving Facility requires compliance with the following financial covenants: a maximum Consolidated Leverage Ratio and a minimum Consolidated Interest Coverage Ratio (all capitalized terms used in this paragraph are as defined in the Revolving Facility). As of April 4, 2026, the Company was in compliance with all covenants and performance ratios under the Revolving Facility.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$550.0 million 4.000% senior notes issued on August 26, 2021 are due on August 15, 2029. Related interest payments are due semi-annually. The senior notes are guaranteed by substantially all of the Company’s domestic subsidiaries.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included in interest expense the amortization of deferred financing costs of $0.5 million and $0.5 million for the quarters ended April 4, 2026 and March 29, 2025, respectively.</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lease cost.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Quarter Ended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60" w:type="dxa"/>
            <w:vAlign w:val="bottom"/>
          </w:tcPr>
          <w:p>
            <w:pPr>
              <w:jc w:val="center"/>
              <w:ind w:left="380"/>
              <w:spacing w:after="0" w:line="133" w:lineRule="exact"/>
              <w:rPr>
                <w:sz w:val="20"/>
                <w:szCs w:val="20"/>
                <w:color w:val="auto"/>
              </w:rPr>
            </w:pPr>
            <w:r>
              <w:rPr>
                <w:rFonts w:ascii="Times New Roman" w:cs="Times New Roman" w:eastAsia="Times New Roman" w:hAnsi="Times New Roman"/>
                <w:sz w:val="14"/>
                <w:szCs w:val="14"/>
                <w:color w:val="auto"/>
              </w:rPr>
              <w:t>April 4,</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jc w:val="center"/>
              <w:ind w:right="337"/>
              <w:spacing w:after="0" w:line="133" w:lineRule="exact"/>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60" w:type="dxa"/>
            <w:vAlign w:val="bottom"/>
            <w:gridSpan w:val="2"/>
            <w:vMerge w:val="continue"/>
          </w:tcPr>
          <w:p>
            <w:pPr>
              <w:spacing w:after="0"/>
              <w:rPr>
                <w:sz w:val="12"/>
                <w:szCs w:val="12"/>
                <w:color w:val="auto"/>
              </w:rPr>
            </w:pPr>
          </w:p>
        </w:tc>
        <w:tc>
          <w:tcPr>
            <w:tcW w:w="1060" w:type="dxa"/>
            <w:vAlign w:val="bottom"/>
          </w:tcPr>
          <w:p>
            <w:pPr>
              <w:jc w:val="center"/>
              <w:ind w:left="380"/>
              <w:spacing w:after="0" w:line="125" w:lineRule="exact"/>
              <w:rPr>
                <w:sz w:val="20"/>
                <w:szCs w:val="20"/>
                <w:color w:val="auto"/>
              </w:rPr>
            </w:pPr>
            <w:r>
              <w:rPr>
                <w:rFonts w:ascii="Times New Roman" w:cs="Times New Roman" w:eastAsia="Times New Roman" w:hAnsi="Times New Roman"/>
                <w:sz w:val="14"/>
                <w:szCs w:val="14"/>
                <w:color w:val="auto"/>
                <w:w w:val="99"/>
              </w:rPr>
              <w:t>2026</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jc w:val="center"/>
              <w:ind w:right="337"/>
              <w:spacing w:after="0" w:line="125" w:lineRule="exact"/>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color w:val="auto"/>
                <w:w w:val="97"/>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center"/>
              <w:ind w:left="637"/>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17"/>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color w:val="auto"/>
                <w:w w:val="97"/>
              </w:rPr>
              <w:t>8.7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The following is a summary of the Company’s supplemental cash flow information related to leases.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8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Quarter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60" w:type="dxa"/>
            <w:vAlign w:val="bottom"/>
          </w:tcPr>
          <w:p>
            <w:pPr>
              <w:jc w:val="center"/>
              <w:ind w:left="380"/>
              <w:spacing w:after="0" w:line="129" w:lineRule="exact"/>
              <w:rPr>
                <w:sz w:val="20"/>
                <w:szCs w:val="20"/>
                <w:color w:val="auto"/>
              </w:rPr>
            </w:pPr>
            <w:r>
              <w:rPr>
                <w:rFonts w:ascii="Times New Roman" w:cs="Times New Roman" w:eastAsia="Times New Roman" w:hAnsi="Times New Roman"/>
                <w:sz w:val="14"/>
                <w:szCs w:val="14"/>
                <w:color w:val="auto"/>
              </w:rPr>
              <w:t>April 4,</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jc w:val="center"/>
              <w:ind w:right="337"/>
              <w:spacing w:after="0" w:line="129" w:lineRule="exact"/>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60" w:type="dxa"/>
            <w:vAlign w:val="bottom"/>
            <w:gridSpan w:val="2"/>
            <w:vMerge w:val="continue"/>
          </w:tcPr>
          <w:p>
            <w:pPr>
              <w:spacing w:after="0"/>
              <w:rPr>
                <w:sz w:val="12"/>
                <w:szCs w:val="12"/>
                <w:color w:val="auto"/>
              </w:rPr>
            </w:pPr>
          </w:p>
        </w:tc>
        <w:tc>
          <w:tcPr>
            <w:tcW w:w="1060" w:type="dxa"/>
            <w:vAlign w:val="bottom"/>
          </w:tcPr>
          <w:p>
            <w:pPr>
              <w:jc w:val="center"/>
              <w:ind w:left="380"/>
              <w:spacing w:after="0" w:line="149" w:lineRule="exact"/>
              <w:rPr>
                <w:sz w:val="20"/>
                <w:szCs w:val="20"/>
                <w:color w:val="auto"/>
              </w:rPr>
            </w:pPr>
            <w:r>
              <w:rPr>
                <w:rFonts w:ascii="Times New Roman" w:cs="Times New Roman" w:eastAsia="Times New Roman" w:hAnsi="Times New Roman"/>
                <w:sz w:val="14"/>
                <w:szCs w:val="14"/>
                <w:color w:val="auto"/>
                <w:w w:val="99"/>
              </w:rPr>
              <w:t>2026</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jc w:val="center"/>
              <w:ind w:right="337"/>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color w:val="auto"/>
                <w:w w:val="97"/>
              </w:rPr>
              <w:t>9.1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10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center"/>
              <w:ind w:left="637"/>
              <w:spacing w:after="0"/>
              <w:rPr>
                <w:sz w:val="20"/>
                <w:szCs w:val="20"/>
                <w:color w:val="auto"/>
              </w:rPr>
            </w:pPr>
            <w:r>
              <w:rPr>
                <w:rFonts w:ascii="Times New Roman" w:cs="Times New Roman" w:eastAsia="Times New Roman" w:hAnsi="Times New Roman"/>
                <w:sz w:val="18"/>
                <w:szCs w:val="18"/>
                <w:color w:val="auto"/>
                <w:w w:val="97"/>
              </w:rPr>
              <w:t>4.0</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enter into any real estate leases with commencement dates subsequent to April 4, 2026.</w:t>
      </w:r>
    </w:p>
    <w:p>
      <w:pPr>
        <w:spacing w:after="0" w:line="22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foreign currency forward exchange contracts designated as cash flow hedges to manage the volatility associated primarily with U.S. dollar inventory purchases made by non-U.S. wholesale operations in the normal course of business. These foreign currency forward exchange hedge contracts extended out to a maximum of 538 days, 503 days, and 538 days as of April 4, 2026, January 3, 2026 and March 29, 2025, respectively. If, in the future, the foreign exchange contracts are determined not to be highly effective or are terminated before their contractual termination dates, the Company would remove the hedge designation from those contracts and reclassify into earnings the unrealized gains or losses that would otherwise be included in accumulated other comprehensive income (loss) within stockholders’ equity.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foreign currency forward exchange contracts that are not designated as hedging instruments to manage foreign currency transaction exposure. Foreign currency derivatives not designated as hedging instruments are offset by foreign exchange gains or losses resulting from the underlying exposures of foreign currency denominated assets and liabilities.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an interest rate swap arrangement, which matured on May 30, 2025. The agreement exchanged floating rate interest payments for fixed rate interest payments over the life of the agreement without the exchange of the underlying notional amounts. The differential paid or received on the interest rate swap arrangement was recognized as interest expense, net.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notional amounts of the Company’s derivative instruments are as follows: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55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4,</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53"/>
        </w:trPr>
        <w:tc>
          <w:tcPr>
            <w:tcW w:w="1180" w:type="dxa"/>
            <w:vAlign w:val="bottom"/>
            <w:tcBorders>
              <w:bottom w:val="single" w:sz="8" w:color="auto"/>
            </w:tcBorders>
            <w:vMerge w:val="continue"/>
          </w:tcPr>
          <w:p>
            <w:pPr>
              <w:spacing w:after="0"/>
              <w:rPr>
                <w:sz w:val="12"/>
                <w:szCs w:val="12"/>
                <w:color w:val="auto"/>
              </w:rPr>
            </w:pPr>
          </w:p>
        </w:tc>
        <w:tc>
          <w:tcPr>
            <w:tcW w:w="6940" w:type="dxa"/>
            <w:vAlign w:val="bottom"/>
            <w:gridSpan w:val="2"/>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144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144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11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hedge contracts</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302.6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96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459"/>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recorded fair values of the Company’s derivative instruments are as follows: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4,</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January 3,</w:t>
            </w:r>
          </w:p>
        </w:tc>
        <w:tc>
          <w:tcPr>
            <w:tcW w:w="260" w:type="dxa"/>
            <w:vAlign w:val="bottom"/>
          </w:tcPr>
          <w:p>
            <w:pPr>
              <w:spacing w:after="0"/>
              <w:rPr>
                <w:sz w:val="22"/>
                <w:szCs w:val="22"/>
                <w:color w:val="auto"/>
              </w:rPr>
            </w:pPr>
          </w:p>
        </w:tc>
        <w:tc>
          <w:tcPr>
            <w:tcW w:w="1180" w:type="dxa"/>
            <w:vAlign w:val="bottom"/>
          </w:tcPr>
          <w:p>
            <w:pPr>
              <w:jc w:val="right"/>
              <w:ind w:right="335"/>
              <w:spacing w:after="0"/>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960" w:type="dxa"/>
            <w:vAlign w:val="bottom"/>
          </w:tcPr>
          <w:p>
            <w:pPr>
              <w:jc w:val="right"/>
              <w:ind w:right="17"/>
              <w:spacing w:after="0" w:line="125" w:lineRule="exact"/>
              <w:rPr>
                <w:sz w:val="20"/>
                <w:szCs w:val="20"/>
                <w:color w:val="auto"/>
              </w:rPr>
            </w:pPr>
            <w:r>
              <w:rPr>
                <w:rFonts w:ascii="Times New Roman" w:cs="Times New Roman" w:eastAsia="Times New Roman" w:hAnsi="Times New Roman"/>
                <w:sz w:val="14"/>
                <w:szCs w:val="14"/>
                <w:color w:val="auto"/>
              </w:rPr>
              <w:t>2026</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5"/>
              <w:spacing w:after="0" w:line="125"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5"/>
              <w:spacing w:after="0" w:line="125"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exchange hedge contracts</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rate swap</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exchange hedge contracts</w:t>
            </w:r>
          </w:p>
        </w:tc>
        <w:tc>
          <w:tcPr>
            <w:tcW w:w="96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Foreign exchange hedge contract financial assets are recorded to prepaid expenses and other current assets and financial liabilities are recorded to other accrued liabilities on the consolidated condensed balance sheets. Interest rate swap financial assets are recorded to other assets on the consolidated condensed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expense of $5.8 million and $5.7 million, and related income tax benefits of $1.1 million and $1.2 million, for grants under its stock-based compensation plans for the quarters ended April 4, 2026 and March 29, 2025, respectively.</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grants restricted stock or units (“restricted awards”), performance-based restricted stock or units (“performance awards”) and stock options under its stock-based compensation plans.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granted restricted awards and performance awards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332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Year-To-Date Ended April 4, 2026</w:t>
            </w:r>
          </w:p>
        </w:tc>
        <w:tc>
          <w:tcPr>
            <w:tcW w:w="324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color w:val="auto"/>
              </w:rPr>
              <w:t>Year-To-Date Ended March 29, 2025</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Company Shares Issued</w:t>
            </w:r>
          </w:p>
        </w:tc>
        <w:tc>
          <w:tcPr>
            <w:tcW w:w="158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Weighted-Average Grant</w:t>
            </w:r>
          </w:p>
        </w:tc>
        <w:tc>
          <w:tcPr>
            <w:tcW w:w="80" w:type="dxa"/>
            <w:vAlign w:val="bottom"/>
          </w:tcPr>
          <w:p>
            <w:pPr>
              <w:spacing w:after="0"/>
              <w:rPr>
                <w:sz w:val="11"/>
                <w:szCs w:val="11"/>
                <w:color w:val="auto"/>
              </w:rPr>
            </w:pPr>
          </w:p>
        </w:tc>
        <w:tc>
          <w:tcPr>
            <w:tcW w:w="16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Company Shares Issued</w:t>
            </w:r>
          </w:p>
        </w:tc>
        <w:tc>
          <w:tcPr>
            <w:tcW w:w="158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Weighted-Average Grant</w:t>
            </w:r>
          </w:p>
        </w:tc>
        <w:tc>
          <w:tcPr>
            <w:tcW w:w="0" w:type="dxa"/>
            <w:vAlign w:val="bottom"/>
          </w:tcPr>
          <w:p>
            <w:pPr>
              <w:spacing w:after="0"/>
              <w:rPr>
                <w:sz w:val="1"/>
                <w:szCs w:val="1"/>
                <w:color w:val="auto"/>
              </w:rPr>
            </w:pPr>
          </w:p>
        </w:tc>
      </w:tr>
      <w:tr>
        <w:trPr>
          <w:trHeight w:val="193"/>
        </w:trPr>
        <w:tc>
          <w:tcPr>
            <w:tcW w:w="462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Date Fair Value</w:t>
            </w: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56"/>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Awards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602,757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540,941</w:t>
            </w:r>
          </w:p>
        </w:tc>
        <w:tc>
          <w:tcPr>
            <w:tcW w:w="10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421,475</w:t>
            </w:r>
          </w:p>
        </w:tc>
        <w:tc>
          <w:tcPr>
            <w:tcW w:w="8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RETIREMENT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net pension and Supplemental Executive Retirement Plan (“SERP”) income recognized by the Company.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Quarter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April 4,</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jc w:val="center"/>
              <w:ind w:right="295"/>
              <w:spacing w:after="0" w:line="133" w:lineRule="exact"/>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93"/>
        </w:trPr>
        <w:tc>
          <w:tcPr>
            <w:tcW w:w="83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2026</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 pertaining to benefits earned during the period</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7"/>
              </w:rPr>
              <w:t>0.5</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center"/>
              <w:ind w:left="555"/>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pension assets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 income</w:t>
            </w: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pension income</w:t>
            </w:r>
          </w:p>
        </w:tc>
        <w:tc>
          <w:tcPr>
            <w:tcW w:w="98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non-service cost components of net pension income is recorded in Other income, net, on the consolidated condensed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management and operational activities in overseas subsidiaries, and its foreign earnings are taxed at rates that are different than the U.S. federal statutory income tax rate. A significant amount of the Company’s earnings are generated by its Canadian, European and Asian subsidiaries and, to a lesser extent, in jurisdictions that are not subject to income tax.</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permanently reinvest all non-cash undistributed earnings outside of the U.S. and has therefore not established a deferred tax liability on that amount of foreign unremitted earnings. However, if these non-cash undistributed earnings were repatriated, the Company would be required to accrue and pay applicable U.S. taxes and withholding taxes payable to various countries. It is not practicable to estimate the amount of the deferred tax liability associated with these non-cash unremitted earnings due to the complexity of the hypothetical calculation.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for the quarters ended April 4, 2026 and March 29, 2025 were 18.8% and 8.9%, respectively. The increase in the effective tax rate between 2026 and 2025 was primarily related to changes in the income mix among jurisdictions with differing tax rates and the decreased impact of discrete benefits on the tax rate in the current year due to higher pretax income.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periodic audits by U.S. federal, state, local and non-U.S. tax authorities. Currently, the Company is undergoing routine periodic audits in U.S. federal, state, local and non-U.S. tax jurisdictions. It is reasonably possible that the amounts of unrecognized tax benefits could change in the next 12 months as a result of the audits; however, any payment of tax is not expected to be significant to the consolidated condensed financial statements. The Company is no longer subject to U.S. federal, state and local or non-U.S. income tax examinations by tax authorities for years before 2020 in the majority of tax jurisdictions.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INCOME (LOSS)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(loss) represents net earnings and any revenue, expenses, gains and losses that, under U.S. GAAP, are excluded from net earnings and recognized directly as a component of stockholders’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accumulated other comprehensive income (loss) during the quarters ended April 4, 2026 and March 29, 2025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Foreign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39" w:lineRule="exact"/>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Pr>
          <w:p>
            <w:pPr>
              <w:spacing w:after="0"/>
              <w:rPr>
                <w:sz w:val="12"/>
                <w:szCs w:val="12"/>
                <w:color w:val="auto"/>
              </w:rPr>
            </w:pPr>
          </w:p>
        </w:tc>
        <w:tc>
          <w:tcPr>
            <w:tcW w:w="82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Derivatives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Pension</w:t>
            </w:r>
          </w:p>
        </w:tc>
        <w:tc>
          <w:tcPr>
            <w:tcW w:w="200" w:type="dxa"/>
            <w:vAlign w:val="bottom"/>
          </w:tcPr>
          <w:p>
            <w:pPr>
              <w:spacing w:after="0"/>
              <w:rPr>
                <w:sz w:val="12"/>
                <w:szCs w:val="12"/>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color w:val="auto"/>
              </w:rPr>
              <w:t>translation</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(6.3)</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comprehensive income (loss) before reclassifications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w w:val="99"/>
              </w:rPr>
              <w:t>(2)</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 xml:space="preserve">(0.4)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76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reclassifications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(0.3)</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Net current-period other comprehensive income (loss)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8"/>
              </w:rPr>
              <w:t>(0.3)</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29,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(6.6)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comprehensive income (loss) before reclassifications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520"/>
              <w:spacing w:after="0" w:line="230" w:lineRule="exact"/>
              <w:rPr>
                <w:sz w:val="20"/>
                <w:szCs w:val="20"/>
                <w:color w:val="auto"/>
              </w:rPr>
            </w:pPr>
            <w:r>
              <w:rPr>
                <w:rFonts w:ascii="Times New Roman" w:cs="Times New Roman" w:eastAsia="Times New Roman" w:hAnsi="Times New Roman"/>
                <w:sz w:val="26"/>
                <w:szCs w:val="26"/>
                <w:color w:val="auto"/>
                <w:vertAlign w:val="subscript"/>
              </w:rPr>
              <w:t>0.7</w:t>
            </w:r>
            <w:r>
              <w:rPr>
                <w:rFonts w:ascii="Times New Roman" w:cs="Times New Roman" w:eastAsia="Times New Roman" w:hAnsi="Times New Roman"/>
                <w:sz w:val="10"/>
                <w:szCs w:val="10"/>
                <w:color w:val="auto"/>
              </w:rPr>
              <w:t xml:space="preserve"> (2)</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76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reclassifications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Net current-period other comprehensive income (loss)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4,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comprehensive income (loss) is reported net of taxes and noncontrolling interest.</w:t>
      </w:r>
    </w:p>
    <w:p>
      <w:pPr>
        <w:spacing w:after="0" w:line="89"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related to foreign currency derivatives used to manage the volatility associated with inventory purchases in various currencies and deemed to be highly effective are included in cost of goods sold. Amounts related to foreign currency derivatives that are no longer deemed to be highly effective are included in other income.</w:t>
      </w:r>
    </w:p>
    <w:p>
      <w:pPr>
        <w:spacing w:after="0" w:line="61"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reclassified are included in the computation of net pension expense.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For additional information regarding the Company’s fair value policies, refer to Note 1 in the Company’s 2025 Form 10-K.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financial assets and liabilities measured at fair value in the consolidated condensed balance sheets and the respective pricing levels to which the fair value measurements are classified within the fair value hierarchy.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 Measurements</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gridSpan w:val="7"/>
          </w:tcPr>
          <w:p>
            <w:pPr>
              <w:jc w:val="center"/>
              <w:ind w:right="1059"/>
              <w:spacing w:after="0"/>
              <w:rPr>
                <w:sz w:val="20"/>
                <w:szCs w:val="20"/>
                <w:color w:val="auto"/>
              </w:rPr>
            </w:pPr>
            <w:r>
              <w:rPr>
                <w:rFonts w:ascii="Times New Roman" w:cs="Times New Roman" w:eastAsia="Times New Roman" w:hAnsi="Times New Roman"/>
                <w:sz w:val="14"/>
                <w:szCs w:val="14"/>
                <w:color w:val="auto"/>
              </w:rPr>
              <w:t>Quoted Prices With Other Observable Inputs (Level 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April 4,</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January 3,</w:t>
            </w:r>
          </w:p>
        </w:tc>
        <w:tc>
          <w:tcPr>
            <w:tcW w:w="340" w:type="dxa"/>
            <w:vAlign w:val="bottom"/>
          </w:tcPr>
          <w:p>
            <w:pPr>
              <w:spacing w:after="0"/>
              <w:rPr>
                <w:sz w:val="11"/>
                <w:szCs w:val="11"/>
                <w:color w:val="auto"/>
              </w:rPr>
            </w:pPr>
          </w:p>
        </w:tc>
        <w:tc>
          <w:tcPr>
            <w:tcW w:w="1420" w:type="dxa"/>
            <w:vAlign w:val="bottom"/>
          </w:tcPr>
          <w:p>
            <w:pPr>
              <w:jc w:val="center"/>
              <w:ind w:right="259"/>
              <w:spacing w:after="0" w:line="135" w:lineRule="exact"/>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20" w:type="dxa"/>
            <w:vAlign w:val="bottom"/>
            <w:gridSpan w:val="2"/>
            <w:vMerge w:val="continue"/>
          </w:tcPr>
          <w:p>
            <w:pPr>
              <w:spacing w:after="0"/>
              <w:rPr>
                <w:sz w:val="12"/>
                <w:szCs w:val="12"/>
                <w:color w:val="auto"/>
              </w:rPr>
            </w:pPr>
          </w:p>
        </w:tc>
        <w:tc>
          <w:tcPr>
            <w:tcW w:w="112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65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hedge contracts - Financial assets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hedge contracts - Financial liabilities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foreign currency forward exchange contracts represents the estimated receipts or payments necessary to terminate the contracts. The interest rate swap was valued based on the current forward rates of the future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Disclosures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not recorded at fair value consist of cash and cash equivalents, accounts and notes receivable, accounts payable, borrowings under revolving credit agreements and other short-term and long-term debt. The carrying amount of these financial instruments is historical cost, which approximates fair value, except for the debt. The carrying value and the fair value of the Company’s debt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180" w:type="dxa"/>
            <w:vAlign w:val="bottom"/>
          </w:tcPr>
          <w:p>
            <w:pPr>
              <w:jc w:val="center"/>
              <w:ind w:left="502"/>
              <w:spacing w:after="0"/>
              <w:rPr>
                <w:sz w:val="20"/>
                <w:szCs w:val="20"/>
                <w:color w:val="auto"/>
              </w:rPr>
            </w:pPr>
            <w:r>
              <w:rPr>
                <w:rFonts w:ascii="Times New Roman" w:cs="Times New Roman" w:eastAsia="Times New Roman" w:hAnsi="Times New Roman"/>
                <w:sz w:val="14"/>
                <w:szCs w:val="14"/>
                <w:color w:val="auto"/>
              </w:rPr>
              <w:t>April 4,</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January 3,</w:t>
            </w:r>
          </w:p>
        </w:tc>
        <w:tc>
          <w:tcPr>
            <w:tcW w:w="340" w:type="dxa"/>
            <w:vAlign w:val="bottom"/>
          </w:tcPr>
          <w:p>
            <w:pPr>
              <w:spacing w:after="0"/>
              <w:rPr>
                <w:sz w:val="13"/>
                <w:szCs w:val="13"/>
                <w:color w:val="auto"/>
              </w:rPr>
            </w:pPr>
          </w:p>
        </w:tc>
        <w:tc>
          <w:tcPr>
            <w:tcW w:w="1420" w:type="dxa"/>
            <w:vAlign w:val="bottom"/>
          </w:tcPr>
          <w:p>
            <w:pPr>
              <w:jc w:val="right"/>
              <w:ind w:right="499"/>
              <w:spacing w:after="0"/>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gridSpan w:val="2"/>
            <w:vMerge w:val="continue"/>
          </w:tcPr>
          <w:p>
            <w:pPr>
              <w:spacing w:after="0"/>
              <w:rPr>
                <w:sz w:val="12"/>
                <w:szCs w:val="12"/>
                <w:color w:val="auto"/>
              </w:rPr>
            </w:pPr>
          </w:p>
        </w:tc>
        <w:tc>
          <w:tcPr>
            <w:tcW w:w="1180" w:type="dxa"/>
            <w:vAlign w:val="bottom"/>
          </w:tcPr>
          <w:p>
            <w:pPr>
              <w:jc w:val="right"/>
              <w:ind w:right="82"/>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659"/>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65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18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w:t>
            </w:r>
          </w:p>
        </w:tc>
        <w:tc>
          <w:tcPr>
            <w:tcW w:w="1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the fixed rate debt was based on third-party quotes (Level 2). The fair value of the variable rate debt was calculated by discounting the future cash flows to its present value using a discount rate based on the risk-free rate of the same maturity (Level 3).</w:t>
      </w:r>
    </w:p>
    <w:p>
      <w:pPr>
        <w:spacing w:after="0" w:line="158" w:lineRule="exact"/>
        <w:rPr>
          <w:sz w:val="20"/>
          <w:szCs w:val="20"/>
          <w:color w:val="auto"/>
        </w:rPr>
      </w:pPr>
    </w:p>
    <w:p>
      <w:pPr>
        <w:ind w:right="7860" w:firstLine="8"/>
        <w:spacing w:after="0" w:line="362" w:lineRule="auto"/>
        <w:tabs>
          <w:tab w:leader="none" w:pos="27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 AND CONTINGENCIES Litigation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operated a leather tannery in Rockford, Michigan from the early 1900s through 2009 (the “Tannery”). The Company also owns a parcel on House Street in Plainfield Township that the Company used for the disposal of Tannery byproducts until about 1970 (the "House Street" site). Beginning in the late 1950s, the Company used 3M Company’s Scotchgard™ in its processing of certain leathers at the Tannery. Until 2002 when 3M Company changed its Scotchgard™ formula, Tannery byproducts disposed of by the Company at the House Street site and other locations may have contained PFOA and/or PFOS, two chemicals in the family of compounds known as per- and polyfluoroalkyl substances (together, “PFAS”). PFOA and PFOS help provide non-stick, stain-resistant, and water-resistant qualities, and were used for many decades in commercial products like firefighting foams and metal plating, and in common consumer items like food wrappers, microwave popcorn bags, pizza boxes, Teflon™, carpets and Scotchgard™.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2016, the Environmental Protection Agency (“EPA”) announced a lifetime health advisory level of 70 parts per trillion (“ppt”) combined for PFOA and PFOS. In January 2018, the Michigan Department of Environmental Quality (now known as the Michigan Department of Environment, Great Lakes, and Energy (“EGLE”)) enacted a drinking water criterion of 70 ppt combined for PFOA and PFOS, which set an official state standard for acceptable concentrations of these contaminants in groundwater used for drinking water purposes. On August 3, 2020, Michigan changed the standards for PFOA and PFOS in drinking water to 8 and 16 ppt, respectively, and set standards for four other PFAS substances.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Civil and Regulatory Actions of EGLE and EPA</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10, 2018, EGLE filed a civil action against the Company in the U.S. District Court for the Western District of Michigan under the federal Resource Conservation and Recovery Act of 1976 (“RCRA”) and Parts 201 and 31 of the Michigan Natural Resources and Environmental Protection Act (“NREPA”) alleging that the Company’s past and present handling, storage, treatment, transportation and/or disposal of solid waste at the Company’s properties has resulted in releases of PFAS at levels exceeding applicable Michigan cleanup criteria for PFOA and PFOS (the "EGLE Action"). Plainfield and Algoma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Townships intervened in the EGLE Action alleging claims under RCRA, NREPA, the Comprehensive Environmental Response, Compensation, and Liability Act (“CERCLA”) and common law nuisance.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3, 2020, the parties entered into a consent decree resolving the EGLE Action, which was approved by the U.S. District Judge on February 19, 2020 (the “Consent Decree”). Under the Consent Decree, the Company agreed to pay for an extension of Plainfield Township’s municipal water system to more than 1,000 properties in Plainfield and Algoma Townships, subject to an aggregate cap of $69.5 million. The Company also agreed to continue maintaining water filters for certain homeowners, resample certain residential wells for PFAS, continue remediation at the Company’s Tannery property and House Street site, and conduct further investigations and monitoring to assess the presence of PFAS in area groundwater.</w:t>
      </w:r>
    </w:p>
    <w:p>
      <w:pPr>
        <w:spacing w:after="0" w:line="129" w:lineRule="exact"/>
        <w:rPr>
          <w:sz w:val="20"/>
          <w:szCs w:val="20"/>
          <w:color w:val="auto"/>
        </w:rPr>
      </w:pPr>
    </w:p>
    <w:p>
      <w:pPr>
        <w:ind w:right="200"/>
        <w:spacing w:after="0" w:line="525" w:lineRule="auto"/>
        <w:rPr>
          <w:sz w:val="20"/>
          <w:szCs w:val="20"/>
          <w:color w:val="auto"/>
        </w:rPr>
      </w:pPr>
      <w:r>
        <w:rPr>
          <w:rFonts w:ascii="Times New Roman" w:cs="Times New Roman" w:eastAsia="Times New Roman" w:hAnsi="Times New Roman"/>
          <w:sz w:val="18"/>
          <w:szCs w:val="18"/>
          <w:color w:val="auto"/>
        </w:rPr>
        <w:t xml:space="preserve">Separately, in February 2020, the Company entered into a settlement agreement with 3M Company for costs incurred in the defense of the EGLE Action. The Company discusses its reserve for remediation costs in the environmental liabilities section below. </w:t>
      </w:r>
      <w:r>
        <w:rPr>
          <w:rFonts w:ascii="Times New Roman" w:cs="Times New Roman" w:eastAsia="Times New Roman" w:hAnsi="Times New Roman"/>
          <w:sz w:val="18"/>
          <w:szCs w:val="18"/>
          <w:i w:val="1"/>
          <w:iCs w:val="1"/>
          <w:color w:val="auto"/>
        </w:rPr>
        <w:t>Individual and Class Action Litigation</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late 2017, individual lawsuits and three putative class action lawsuits, later consolidated into one, were filed against the Company that raise a variety of claims, including claims related to property, remediation, and human health effects. 3M Company has been named as a co-defendant in the individual lawsuits and consolidated putative class action lawsuit. In addition, the current owner of a former landfill and gravel mining operation sued the Company seeking damages and cost recovery for property damage allegedly caused by the Company’s disposal of tannery waste containing PFAS (the "Landfill Suit"). The owner of another former landfill filed notice threatening suit and sent a demand letter to the Company seeking recovery for damages allegedly caused by the Company’s disposal of tannery waste containing PFAS (the "Disposal Claim"). In addition, the owner of two landfills sued the Company in federal court in Michigan on December 4, 2025 seeking to recover PFAS response costs based on allegations that the tannery waste the landfills accepted from the Company contained PFAS (the "2025 Suit"). (The Landfill Suit, the Disposal Claim, the 2025 Suit, the individual lawsuits and putative class action, collectively, the “Litigation Matters”).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11, 2022, the Company and 3M Company entered into a master settlement agreement with the law firm representing certain of the plaintiffs in the individual lawsuits included in the Litigation Matters, and each of these plaintiffs subsequently agreed to participate in the settlement. These plaintiffs’ lawsuits were dismissed with prejudice on or around April 25, 2022.</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9, 2021, the Company and 3M Company reached a settlement in principle to resolve certain of the remaining individual lawsuits included in the Litigation Matters, and the parties entered into definitive settlement agreements in March 2022. These plaintiffs’ lawsuits were dismissed with prejudice on June 14, 2022. The last remaining individual action was dismissed without prejudice on June 24, 2022.</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September 2022, the parties to the putative class action filed a motion for preliminary approval of a proposed class action settlement seeking to resolve the putative class action plaintiffs’ claims. On March 29, 2023, the court presiding over the putative class action granted final approval of the proposed settlement and dismissed the lawsuit with prejudice.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landfill owner that made the Disposal Claim agreed to negotiate before suit was filed and the parties settled on May 29, 2024.</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two remaining pending Litigation Matters. The first, the Landfill Suit, which was refiled and is currently pending in Michigan state court but the Company has not yet been renamed. The second, the 2025 Suit, was filed in the fourth quarter of 2025. The Company has filed a motion to dismiss several claims made by the plaintiff and the Company intends to defend the remaining claims.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of the Litigation Matters described above, and as a result of developments during the first quarter of 2026, the Company increased its accrual by $0.6 million. The Company made related payments of $0.4 million in connection with the Litigation Matters described above during the first quarter of 2026. As of April 4, 2026, the Company had recorded liabilities of $8.7 million for certain of the Litigation Matters described above which are recorded as other accrued liabilities and other liabilities in the consolidated condensed balance sheets.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2018, the Company filed a lawsuit against certain of its historic liability insurers, seeking to compel them to provide a defense against the Litigation Matters on the Company's behalf and coverage for remediation efforts undertaken by, and indemnity provided by, the Company. Following the last recovery payment received, the lawsuit was dismissed in December 2024.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Other Litigation</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also involved in litigation incidental to its business and is a party to legal actions and claims, including, but not limited to, those related to employment, intellectual property, and consumer related matters. Some of the legal proceedings include claims for compensatory as well as punitive damages. While the final outcome of these matters cannot be predicted with certainty, considering, among other things, the meritorious legal defenses available to the Company and reserves for liabilities that the Company has recorded, along with applicable insurance, it is management’s opinion that the outcome of these items are not expected to have a material adverse effect on the Company’s consolidated financial position, results of operations 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activity with respect to the environmental remediation reserve established by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Quarter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April 4,</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jc w:val="right"/>
              <w:ind w:right="336"/>
              <w:spacing w:after="0" w:line="133" w:lineRule="exact"/>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60" w:type="dxa"/>
            <w:vAlign w:val="bottom"/>
            <w:gridSpan w:val="2"/>
            <w:vMerge w:val="continue"/>
          </w:tcPr>
          <w:p>
            <w:pPr>
              <w:spacing w:after="0"/>
              <w:rPr>
                <w:sz w:val="12"/>
                <w:szCs w:val="12"/>
                <w:color w:val="auto"/>
              </w:rPr>
            </w:pPr>
          </w:p>
        </w:tc>
        <w:tc>
          <w:tcPr>
            <w:tcW w:w="980" w:type="dxa"/>
            <w:vAlign w:val="bottom"/>
          </w:tcPr>
          <w:p>
            <w:pPr>
              <w:jc w:val="right"/>
              <w:ind w:right="39"/>
              <w:spacing w:after="0" w:line="125" w:lineRule="exact"/>
              <w:rPr>
                <w:sz w:val="20"/>
                <w:szCs w:val="20"/>
                <w:color w:val="auto"/>
              </w:rPr>
            </w:pPr>
            <w:r>
              <w:rPr>
                <w:rFonts w:ascii="Times New Roman" w:cs="Times New Roman" w:eastAsia="Times New Roman" w:hAnsi="Times New Roman"/>
                <w:sz w:val="14"/>
                <w:szCs w:val="14"/>
                <w:color w:val="auto"/>
              </w:rPr>
              <w:t>2026</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ind w:right="496"/>
              <w:spacing w:after="0" w:line="125"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Remediation liability at beginning of the year</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Changes in estimate</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Amounts paid</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Remediation liability at the end of the quarter</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reserve balance as of April 4, 2026 includes $11.1 million that is expected to be paid within the next twelve months and is recorded as a current obligation in other accrued liabilities, with the remaining $14.4 million expected to be paid over the course of up to 25 years, recorded in other liabilities.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remediation activity at the Tannery property, House Street site and other relevant operations or disposal sites is ongoing. Although the Consent Decree has made near-term costs more clear, it is difficult to estimate the long-term cost of environmental compliance and remediation given the uncertainties regarding the interpretation and enforcement of applicable environmental laws and regulations, the extent of environmental contamination and the existence of alternative cleanup methods. Future developments may occur that could materially change the Company’s current cost estimates, including, but not limited to: (i) changes in the information available regarding the environmental impact of the Company’s operations and products; (ii) changes in environmental regulations, changes in permissible levels of specific compounds in drinking water sources, or changes in enforcement theories and policies, including efforts to recover natural resource damages; (iii) new and evolving analytical and remediation techniques; (iv) changes to the form of remediation; (v) success in allocating liability to other potentially responsible parties; and (vi) the financial viability of other potentially responsible parties and third-party indemnitors. For locations at which remediation activity is largely ongoing, the Company cannot estimate a possible loss or range of loss in excess of the associated established reserves for the reasons described above. The Company adjusts recorded liabilities as further information develops or circumstances change.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Royalties and Advertising Commitments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future minimum royalty and advertising obligations due under the terms of certain licenses held by the Company. These minimum future obligations for the fiscal periods subsequent to April 4, 2026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Pr>
          <w:p>
            <w:pPr>
              <w:spacing w:after="0"/>
              <w:rPr>
                <w:sz w:val="13"/>
                <w:szCs w:val="13"/>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Thereafter</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royalties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advertising</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Minimum royalties are based on both fixed obligations and assumptions regarding the Consumer Price Index. Royalty obligations in excess of minimum requirements are based upon future sales levels. In accordance with these agreements, the Company incurred royalty expense of $0.2 million and $0.3 million for the quarters ended April 4, 2026 and March 29, 2025, respectively.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certain license agreements also require the Company to make advertising expenditures based on the level of sales of the licensed products. In accordance with these agreements, the Company incurred advertising expense of $1.3 million and $0.5 million for the quarters ended April 4, 2026 and March 29, 2025,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16. BUSINESS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portfolio of brands is organized into the following two reportable segments.</w:t>
      </w:r>
    </w:p>
    <w:p>
      <w:pPr>
        <w:spacing w:after="0" w:line="86"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color w:val="auto"/>
        </w:rPr>
        <w:t xml:space="preserve">Active Group, </w:t>
      </w:r>
      <w:r>
        <w:rPr>
          <w:rFonts w:ascii="Times New Roman" w:cs="Times New Roman" w:eastAsia="Times New Roman" w:hAnsi="Times New Roman"/>
          <w:sz w:val="17"/>
          <w:szCs w:val="17"/>
          <w:color w:val="auto"/>
        </w:rPr>
        <w:t>consisting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Merrell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 apparel,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Saucony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 apparel,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Sweaty Betty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activewear,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Chaco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w:t>
      </w:r>
    </w:p>
    <w:p>
      <w:pPr>
        <w:spacing w:after="0" w:line="54" w:lineRule="exact"/>
        <w:rPr>
          <w:rFonts w:ascii="Times New Roman" w:cs="Times New Roman" w:eastAsia="Times New Roman" w:hAnsi="Times New Roman"/>
          <w:sz w:val="16"/>
          <w:szCs w:val="16"/>
          <w:b w:val="1"/>
          <w:bCs w:val="1"/>
          <w:color w:val="auto"/>
        </w:rPr>
      </w:pPr>
    </w:p>
    <w:p>
      <w:pPr>
        <w:ind w:left="660" w:hanging="328"/>
        <w:spacing w:after="0" w:line="22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Work Group, </w:t>
      </w:r>
      <w:r>
        <w:rPr>
          <w:rFonts w:ascii="Times New Roman" w:cs="Times New Roman" w:eastAsia="Times New Roman" w:hAnsi="Times New Roman"/>
          <w:sz w:val="18"/>
          <w:szCs w:val="18"/>
          <w:color w:val="auto"/>
        </w:rPr>
        <w:t>consisting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apparel,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uniform 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footwear.</w:t>
      </w:r>
    </w:p>
    <w:p>
      <w:pPr>
        <w:spacing w:after="0" w:line="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Company's operating segments are the Active Group, Work Group, and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the Active Group were evaluated and combined into one reportable segment because they met the similar economic characteristics and qualitative aggregation criteria set forth in the relevant accounting guidance. The Company's chief operating decision maker is the President and Chief Executive Officer. The chief operating decision maker uses segment operating profit to assess the performance of, and to allocate resources to, each segment.</w:t>
      </w:r>
    </w:p>
    <w:p>
      <w:pPr>
        <w:spacing w:after="0" w:line="14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 xml:space="preserve">The Company also reports “Other” and “Corporate” categories. The Other category consists of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and apparel, sourcing operations that include third-party commission revenues, multi-branded direct-to-consumer retail store and the </w:t>
      </w:r>
      <w:r>
        <w:rPr>
          <w:rFonts w:ascii="Times New Roman" w:cs="Times New Roman" w:eastAsia="Times New Roman" w:hAnsi="Times New Roman"/>
          <w:sz w:val="18"/>
          <w:szCs w:val="18"/>
          <w:i w:val="1"/>
          <w:iCs w:val="1"/>
          <w:color w:val="auto"/>
        </w:rPr>
        <w:t>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licensed business. The Corporate category consists of unallocated corporate expenses such as corporate employee costs, corporate facility costs, IT costs, reorganization activities, impairment of long-lived assets and environmental and other related costs.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reportable segments are engaged in designing, manufacturing, sourcing, marketing, licensing and distributing branded footwear, apparel and accessories. Revenue for the reportable segments includes revenue from the sale of branded footwear, apparel and accessories to third-party customers; revenue from third-party licensees and distributors; and revenue from the Company’s direct-to-consumer businesses. The Company’s reportable segments are determined based on how the Company internally reports and evaluates financial information used to make operating decisions.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management uses various financial measures to evaluate the performance of the reportable segments. The following is a summary of certain key financial measures for the respective fiscal periods indicated. The significant expense categories and amounts align with the segment-level information that is regularly provided to the Company's chief operating decision maker.</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6"/>
          </w:tcPr>
          <w:p>
            <w:pPr>
              <w:jc w:val="center"/>
              <w:ind w:left="741"/>
              <w:spacing w:after="0"/>
              <w:rPr>
                <w:sz w:val="20"/>
                <w:szCs w:val="20"/>
                <w:color w:val="auto"/>
              </w:rPr>
            </w:pPr>
            <w:r>
              <w:rPr>
                <w:rFonts w:ascii="Times New Roman" w:cs="Times New Roman" w:eastAsia="Times New Roman" w:hAnsi="Times New Roman"/>
                <w:sz w:val="14"/>
                <w:szCs w:val="14"/>
                <w:color w:val="auto"/>
              </w:rPr>
              <w:t>Quarter Ended April 4, 2026</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Active Group</w:t>
            </w:r>
          </w:p>
        </w:tc>
        <w:tc>
          <w:tcPr>
            <w:tcW w:w="18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Work Group</w:t>
            </w:r>
          </w:p>
        </w:tc>
        <w:tc>
          <w:tcPr>
            <w:tcW w:w="280" w:type="dxa"/>
            <w:vAlign w:val="bottom"/>
          </w:tcPr>
          <w:p>
            <w:pPr>
              <w:spacing w:after="0"/>
              <w:rPr>
                <w:sz w:val="12"/>
                <w:szCs w:val="12"/>
                <w:color w:val="auto"/>
              </w:rPr>
            </w:pPr>
          </w:p>
        </w:tc>
        <w:tc>
          <w:tcPr>
            <w:tcW w:w="106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2"/>
                <w:szCs w:val="12"/>
                <w:color w:val="auto"/>
              </w:rPr>
            </w:pPr>
          </w:p>
        </w:tc>
        <w:tc>
          <w:tcPr>
            <w:tcW w:w="11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Corporate</w:t>
            </w:r>
          </w:p>
        </w:tc>
        <w:tc>
          <w:tcPr>
            <w:tcW w:w="280" w:type="dxa"/>
            <w:vAlign w:val="bottom"/>
          </w:tcPr>
          <w:p>
            <w:pPr>
              <w:spacing w:after="0"/>
              <w:rPr>
                <w:sz w:val="12"/>
                <w:szCs w:val="12"/>
                <w:color w:val="auto"/>
              </w:rPr>
            </w:pPr>
          </w:p>
        </w:tc>
        <w:tc>
          <w:tcPr>
            <w:tcW w:w="960" w:type="dxa"/>
            <w:vAlign w:val="bottom"/>
          </w:tcPr>
          <w:p>
            <w:pPr>
              <w:jc w:val="right"/>
              <w:ind w:right="4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6"/>
          </w:tcPr>
          <w:p>
            <w:pPr>
              <w:jc w:val="center"/>
              <w:ind w:left="741"/>
              <w:spacing w:after="0"/>
              <w:rPr>
                <w:sz w:val="20"/>
                <w:szCs w:val="20"/>
                <w:color w:val="auto"/>
              </w:rPr>
            </w:pPr>
            <w:r>
              <w:rPr>
                <w:rFonts w:ascii="Times New Roman" w:cs="Times New Roman" w:eastAsia="Times New Roman" w:hAnsi="Times New Roman"/>
                <w:sz w:val="14"/>
                <w:szCs w:val="14"/>
                <w:color w:val="auto"/>
              </w:rPr>
              <w:t>Quarter Ended March 29, 2025</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Active Group</w:t>
            </w:r>
          </w:p>
        </w:tc>
        <w:tc>
          <w:tcPr>
            <w:tcW w:w="18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Work Group</w:t>
            </w:r>
          </w:p>
        </w:tc>
        <w:tc>
          <w:tcPr>
            <w:tcW w:w="280" w:type="dxa"/>
            <w:vAlign w:val="bottom"/>
          </w:tcPr>
          <w:p>
            <w:pPr>
              <w:spacing w:after="0"/>
              <w:rPr>
                <w:sz w:val="12"/>
                <w:szCs w:val="12"/>
                <w:color w:val="auto"/>
              </w:rPr>
            </w:pPr>
          </w:p>
        </w:tc>
        <w:tc>
          <w:tcPr>
            <w:tcW w:w="106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2"/>
                <w:szCs w:val="12"/>
                <w:color w:val="auto"/>
              </w:rPr>
            </w:pPr>
          </w:p>
        </w:tc>
        <w:tc>
          <w:tcPr>
            <w:tcW w:w="11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Corporate</w:t>
            </w:r>
          </w:p>
        </w:tc>
        <w:tc>
          <w:tcPr>
            <w:tcW w:w="280" w:type="dxa"/>
            <w:vAlign w:val="bottom"/>
          </w:tcPr>
          <w:p>
            <w:pPr>
              <w:spacing w:after="0"/>
              <w:rPr>
                <w:sz w:val="12"/>
                <w:szCs w:val="12"/>
                <w:color w:val="auto"/>
              </w:rPr>
            </w:pPr>
          </w:p>
        </w:tc>
        <w:tc>
          <w:tcPr>
            <w:tcW w:w="960" w:type="dxa"/>
            <w:vAlign w:val="bottom"/>
          </w:tcPr>
          <w:p>
            <w:pPr>
              <w:jc w:val="right"/>
              <w:ind w:right="4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3"/>
                <w:szCs w:val="13"/>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April 4,</w:t>
            </w: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January 3,</w:t>
            </w:r>
          </w:p>
        </w:tc>
        <w:tc>
          <w:tcPr>
            <w:tcW w:w="26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493"/>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3"/>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3"/>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Active Group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 Group</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6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Active Group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 Group</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0" w:right="359" w:bottom="1440" w:gutter="0" w:footer="0" w:header="0"/>
        </w:sectPr>
      </w:pPr>
    </w:p>
    <w:bookmarkStart w:id="19" w:name="page20"/>
    <w:bookmarkEnd w:id="1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Company’s results of operations and liquidity and capital resources. This section should be read in conjunction with the Company’s consolidated condensed financial statements and related notes included elsewhere in this Quarterly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leading global designer, marketer and licensor of branded footwear, apparel and accessories. The Company’s strategic vision is to build and grow high-energy footwear, apparel and accessories brands that inspire and empower consumers to explore and enjoy their active lives. The Company seeks to fulfill this vision by offering innovative products and compelling brand propositions; complementing its footwear brands with strong apparel and accessories offerings; expanding its global direct-to-consumer footprint; and delivering supply chain excellence.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brands are marketed in approximately 170 countries and territories at April 4, 2026, including through owned operations in the U.S., Canada, the United Kingdom and certain countries in continental Europe and Asia Pacific. In other regions (Latin America, portions of Europe and Asia Pacific, the Middle East and Africa), the Company relies on a network of third-party distributors, licensees and joint ventures. At April 4, 2026, the Company operated 126 retail stores in the U.S., United Kingdom, Ireland and Italy and 38 direct-to-consumer eCommerce sites.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Impacting Our Business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20, 2026, the U.S. Supreme Court ruled that U.S. tariffs imposed under the International Emergency Economic Powers Act (“IEEPA”) on goods imported into the U.S. were unauthorized. The total amount of IEEPA tariffs paid by the Company as of the date of the ruling was approximately $36 million. While the process for reimbursement became available on April 20, 2026, the timing and amount of any potential refunds for previously collected tariffs remains uncertain and may be subject to further legal and regulatory developments. At this time, no loss recovery of any IEEPA tariffs paid has been recorded in the Company’s first quarter condensed consolidated financial statements. The Company will continue to monitor changes to the import and export policies of the U.S. and other countries that could impact its financial position, results of operations and cash flows.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Middle East represents approximately 1% of total revenue and is managed by third-party distributors. The Company is closely monitoring the ongoing conflict in the Middle East to determine the potential impacts on the Company’s business, which may include a reduction in distributor revenue and an increase in product input costs and transportation costs associated with elevated oil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FINANCIAL OVERVIEW</w:t>
      </w:r>
    </w:p>
    <w:p>
      <w:pPr>
        <w:spacing w:after="0" w:line="94" w:lineRule="exact"/>
        <w:rPr>
          <w:sz w:val="20"/>
          <w:szCs w:val="20"/>
          <w:color w:val="auto"/>
        </w:rPr>
      </w:pPr>
    </w:p>
    <w:p>
      <w:pPr>
        <w:ind w:left="580" w:hanging="329"/>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$457.6 million for the first quarter of 2026, representing an increase of 11.0% compared to the first quarter of 2025.</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47.6% in the first quarter of 2026 compared to 47.6% in the first quarter of 2025.</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tax rates in the first quarters of 2026 and 2025 were 18.8% and 8.9%, respectively.</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first quarter of 2026 was $0.24 compared to $0.15 for the first quarter of 2025.</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declared cash dividends of $0.10 per share in the first quarters of both 2026 and 2025.</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used in operating activities was $83.2 million for the first quarter of 2026 compared to $83.8 million for the first quarter of 2025.</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the first quarter of 2025, inventory as of the end of the first quarter of 2026 increased $1.1 million, or 0.4%.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4"/>
                <w:szCs w:val="14"/>
                <w:color w:val="auto"/>
              </w:rPr>
              <w:t>Quarter Ended</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260" w:type="dxa"/>
            <w:vAlign w:val="bottom"/>
          </w:tcPr>
          <w:p>
            <w:pPr>
              <w:spacing w:after="0"/>
              <w:rPr>
                <w:sz w:val="11"/>
                <w:szCs w:val="11"/>
                <w:color w:val="auto"/>
              </w:rPr>
            </w:pPr>
          </w:p>
        </w:tc>
        <w:tc>
          <w:tcPr>
            <w:tcW w:w="114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color w:val="auto"/>
              </w:rPr>
              <w:t>April 4,</w:t>
            </w:r>
          </w:p>
        </w:tc>
        <w:tc>
          <w:tcPr>
            <w:tcW w:w="120" w:type="dxa"/>
            <w:vAlign w:val="bottom"/>
          </w:tcPr>
          <w:p>
            <w:pPr>
              <w:spacing w:after="0"/>
              <w:rPr>
                <w:sz w:val="11"/>
                <w:szCs w:val="11"/>
                <w:color w:val="auto"/>
              </w:rPr>
            </w:pPr>
          </w:p>
        </w:tc>
        <w:tc>
          <w:tcPr>
            <w:tcW w:w="1200" w:type="dxa"/>
            <w:vAlign w:val="bottom"/>
          </w:tcPr>
          <w:p>
            <w:pPr>
              <w:jc w:val="right"/>
              <w:ind w:right="279"/>
              <w:spacing w:after="0" w:line="129" w:lineRule="exact"/>
              <w:rPr>
                <w:sz w:val="20"/>
                <w:szCs w:val="20"/>
                <w:color w:val="auto"/>
              </w:rPr>
            </w:pPr>
            <w:r>
              <w:rPr>
                <w:rFonts w:ascii="Times New Roman" w:cs="Times New Roman" w:eastAsia="Times New Roman" w:hAnsi="Times New Roman"/>
                <w:sz w:val="14"/>
                <w:szCs w:val="14"/>
                <w:color w:val="auto"/>
              </w:rPr>
              <w:t>March 29,</w:t>
            </w:r>
          </w:p>
        </w:tc>
        <w:tc>
          <w:tcPr>
            <w:tcW w:w="100" w:type="dxa"/>
            <w:vAlign w:val="bottom"/>
          </w:tcPr>
          <w:p>
            <w:pPr>
              <w:spacing w:after="0"/>
              <w:rPr>
                <w:sz w:val="11"/>
                <w:szCs w:val="11"/>
                <w:color w:val="auto"/>
              </w:rPr>
            </w:pPr>
          </w:p>
        </w:tc>
        <w:tc>
          <w:tcPr>
            <w:tcW w:w="1100" w:type="dxa"/>
            <w:vAlign w:val="bottom"/>
          </w:tcPr>
          <w:p>
            <w:pPr>
              <w:jc w:val="right"/>
              <w:ind w:right="262"/>
              <w:spacing w:after="0" w:line="129" w:lineRule="exact"/>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ind w:right="417"/>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439"/>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100" w:type="dxa"/>
            <w:vAlign w:val="bottom"/>
          </w:tcPr>
          <w:p>
            <w:pPr>
              <w:jc w:val="right"/>
              <w:ind w:right="242"/>
              <w:spacing w:after="0" w:line="149"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20" w:type="dxa"/>
            <w:vAlign w:val="bottom"/>
            <w:tcBorders>
              <w:top w:val="single" w:sz="8" w:color="auto"/>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03"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Environmental and other related costs, net of recoveries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profit</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income, net</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tax expense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earnings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earnings attributable to Wolverine World Wide, Inc.</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34"/>
        </w:trPr>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4"/>
        </w:trPr>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0" w:type="dxa"/>
            <w:vAlign w:val="bottom"/>
          </w:tcPr>
          <w:p>
            <w:pPr>
              <w:spacing w:after="0"/>
              <w:rPr>
                <w:sz w:val="1"/>
                <w:szCs w:val="1"/>
                <w:color w:val="auto"/>
              </w:rPr>
            </w:pPr>
          </w:p>
        </w:tc>
      </w:tr>
      <w:tr>
        <w:trPr>
          <w:trHeight w:val="234"/>
        </w:trPr>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0" w:type="dxa"/>
            <w:vAlign w:val="bottom"/>
          </w:tcPr>
          <w:p>
            <w:pPr>
              <w:spacing w:after="0"/>
              <w:rPr>
                <w:sz w:val="1"/>
                <w:szCs w:val="1"/>
                <w:color w:val="auto"/>
              </w:rPr>
            </w:pPr>
          </w:p>
        </w:tc>
      </w:tr>
      <w:tr>
        <w:trPr>
          <w:trHeight w:val="234"/>
        </w:trPr>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0" w:type="dxa"/>
            <w:vAlign w:val="bottom"/>
          </w:tcPr>
          <w:p>
            <w:pPr>
              <w:spacing w:after="0"/>
              <w:rPr>
                <w:sz w:val="1"/>
                <w:szCs w:val="1"/>
                <w:color w:val="auto"/>
              </w:rPr>
            </w:pP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28"/>
        </w:trPr>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-1528445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-1228090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-936625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-636905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-336550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89" w:lineRule="exact"/>
        <w:rPr>
          <w:sz w:val="20"/>
          <w:szCs w:val="20"/>
          <w:color w:val="auto"/>
        </w:rPr>
      </w:pPr>
    </w:p>
    <w:p>
      <w:pPr>
        <w:sectPr>
          <w:pgSz w:w="11900" w:h="16838" w:orient="portrait"/>
          <w:cols w:equalWidth="0" w:num="2">
            <w:col w:w="6600" w:space="720"/>
            <w:col w:w="3920"/>
          </w:cols>
          <w:pgMar w:left="320" w:top="1103" w:right="339" w:bottom="1440" w:gutter="0" w:footer="0" w:header="0"/>
          <w:type w:val="continuous"/>
        </w:sect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Revenue was $457.6 million for the first quarter of 2026, representing an increase of $45.3 million compared to the first quarter of 2025. The change in revenue reflected a $44.9 million, or 13.7%, increase from the Active Group, a $0.9 million, or 1.2%, increase from the Work Group, and a $0.5 million, or 4.6%, decrease from the Other category. The Active Group’s revenue increase was primarily driven by an increase of $26.1 million from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$19.1 million from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Work Group’s revenue increase was primarily driven by increases of $0.9 million from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$0.8 million from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partially offset by a decrease of $1.0 million from</w:t>
      </w:r>
      <w:r>
        <w:rPr>
          <w:rFonts w:ascii="Times New Roman" w:cs="Times New Roman" w:eastAsia="Times New Roman" w:hAnsi="Times New Roman"/>
          <w:sz w:val="18"/>
          <w:szCs w:val="18"/>
          <w:i w:val="1"/>
          <w:iCs w:val="1"/>
          <w:color w:val="auto"/>
        </w:rPr>
        <w:t xml:space="preserve"> 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decrease in Other revenue was primarily driven by a decrease in</w:t>
      </w:r>
      <w:r>
        <w:rPr>
          <w:rFonts w:ascii="Times New Roman" w:cs="Times New Roman" w:eastAsia="Times New Roman" w:hAnsi="Times New Roman"/>
          <w:sz w:val="18"/>
          <w:szCs w:val="18"/>
          <w:i w:val="1"/>
          <w:iCs w:val="1"/>
          <w:color w:val="auto"/>
        </w:rPr>
        <w:t xml:space="preserve"> 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royalty revenue. Changes in foreign exchange rates increased revenue by $15.4 million during the first quarter of 2026. Direct-to-consumer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increased during the first quarter of 2026 by $2.9 million, or 3.0%, compared to the first quarter of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margin was 47.6% in the first quarter of 2026 compared to 47.6% in the first quarter of 2025. Higher tariff costs in the first quarter of 2026 were offset by price increases and by a favorable mix shift toward more full-price sales.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increased $8.8 million, from $175.1 million in the first quarter of 2025 to $183.9 million in the first quarter of 2026. The increase was primarily driven by higher advertising costs ($8.0 million), higher selling costs ($5.5 million), higher distribution costs ($2.2 million), and higher incentive compensation costs ($0.9 million), partially offset by lower general and administrative costs ($4.4 million), lower environmental and other related costs, net of insurance recoveries ($1.9 million) and 2025 reorganization costs that did not reoccur ($1.8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OTHER AND INCOME TAXES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interest expense was $6.5 million in the first quarter of 2026 compared to $8.0 million in the first quarter of 2025. The decrease in interest expense is primarily due to lower average principal balances of variable rate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was $0.2 million in the first quarter of 2026, compared to other income of $1.5 million in the first quarter of 2025.</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in the first quarter of 2026 and 2025 were 18.8% and 8.9%, respectively. The increase in the effective tax rate between 2026 and 2025 was primarily related to changes in the income mix among jurisdictions with differing tax rates and the decreased impact of discrete benefits on the tax rate in the current year due to higher pretax income.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portfolio of brands is organized into the following reportable segments.</w:t>
      </w:r>
    </w:p>
    <w:p>
      <w:pPr>
        <w:spacing w:after="0" w:line="113"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color w:val="auto"/>
        </w:rPr>
        <w:t xml:space="preserve">Active Group, </w:t>
      </w:r>
      <w:r>
        <w:rPr>
          <w:rFonts w:ascii="Times New Roman" w:cs="Times New Roman" w:eastAsia="Times New Roman" w:hAnsi="Times New Roman"/>
          <w:sz w:val="17"/>
          <w:szCs w:val="17"/>
          <w:color w:val="auto"/>
        </w:rPr>
        <w:t>consisting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Merrell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 apparel,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Saucony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 apparel,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Sweaty Betty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activewear,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Chaco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footwear; and</w:t>
      </w:r>
    </w:p>
    <w:p>
      <w:pPr>
        <w:spacing w:after="0" w:line="41" w:lineRule="exact"/>
        <w:rPr>
          <w:rFonts w:ascii="Times New Roman" w:cs="Times New Roman" w:eastAsia="Times New Roman" w:hAnsi="Times New Roman"/>
          <w:sz w:val="16"/>
          <w:szCs w:val="16"/>
          <w:b w:val="1"/>
          <w:bCs w:val="1"/>
          <w:color w:val="auto"/>
        </w:rPr>
      </w:pPr>
    </w:p>
    <w:p>
      <w:pPr>
        <w:ind w:left="660" w:right="20" w:hanging="328"/>
        <w:spacing w:after="0" w:line="232" w:lineRule="auto"/>
        <w:tabs>
          <w:tab w:leader="none" w:pos="652"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 xml:space="preserve">Work Group, </w:t>
      </w:r>
      <w:r>
        <w:rPr>
          <w:rFonts w:ascii="Times New Roman" w:cs="Times New Roman" w:eastAsia="Times New Roman" w:hAnsi="Times New Roman"/>
          <w:sz w:val="18"/>
          <w:szCs w:val="18"/>
          <w:color w:val="auto"/>
        </w:rPr>
        <w:t>consisting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apparel,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uniform 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footwear.</w:t>
      </w:r>
    </w:p>
    <w:p>
      <w:pPr>
        <w:spacing w:after="0" w:line="6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 xml:space="preserve">The Company also reports “Other” and “Corporate” categories. The Other category consists of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footwear and apparel, sourcing operations that include third-party commission revenues, multi-branded direct-to-consumer retail store and the </w:t>
      </w:r>
      <w:r>
        <w:rPr>
          <w:rFonts w:ascii="Times New Roman" w:cs="Times New Roman" w:eastAsia="Times New Roman" w:hAnsi="Times New Roman"/>
          <w:sz w:val="18"/>
          <w:szCs w:val="18"/>
          <w:i w:val="1"/>
          <w:iCs w:val="1"/>
          <w:color w:val="auto"/>
        </w:rPr>
        <w:t>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licensed business. The Corporate category consists of unallocated corporate expenses, such as corporate employee costs, corporate facility costs, IT costs, reorganization activities, impairment of long-lived assets and environmental and other related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reportable segment results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Quarter Ended</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11"/>
                <w:szCs w:val="11"/>
                <w:color w:val="auto"/>
              </w:rPr>
            </w:pPr>
          </w:p>
        </w:tc>
        <w:tc>
          <w:tcPr>
            <w:tcW w:w="106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4"/>
                <w:szCs w:val="14"/>
                <w:color w:val="auto"/>
              </w:rPr>
              <w:t>April 4,</w:t>
            </w:r>
          </w:p>
        </w:tc>
        <w:tc>
          <w:tcPr>
            <w:tcW w:w="180" w:type="dxa"/>
            <w:vAlign w:val="bottom"/>
          </w:tcPr>
          <w:p>
            <w:pPr>
              <w:spacing w:after="0"/>
              <w:rPr>
                <w:sz w:val="11"/>
                <w:szCs w:val="11"/>
                <w:color w:val="auto"/>
              </w:rPr>
            </w:pPr>
          </w:p>
        </w:tc>
        <w:tc>
          <w:tcPr>
            <w:tcW w:w="108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4"/>
                <w:szCs w:val="14"/>
                <w:color w:val="auto"/>
              </w:rPr>
              <w:t>March 29,</w:t>
            </w:r>
          </w:p>
        </w:tc>
        <w:tc>
          <w:tcPr>
            <w:tcW w:w="160" w:type="dxa"/>
            <w:vAlign w:val="bottom"/>
          </w:tcPr>
          <w:p>
            <w:pPr>
              <w:spacing w:after="0"/>
              <w:rPr>
                <w:sz w:val="11"/>
                <w:szCs w:val="11"/>
                <w:color w:val="auto"/>
              </w:rPr>
            </w:pP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color w:val="auto"/>
              </w:rPr>
              <w:t>Change</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Percent Change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353"/>
              <w:spacing w:after="0" w:line="125" w:lineRule="exact"/>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355"/>
              <w:spacing w:after="0" w:line="125"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 Group</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Group</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7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Group</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Group</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1800"/>
        <w:spacing w:after="0" w:line="352" w:lineRule="auto"/>
        <w:rPr>
          <w:sz w:val="20"/>
          <w:szCs w:val="20"/>
          <w:color w:val="auto"/>
        </w:rPr>
      </w:pPr>
      <w:r>
        <w:rPr>
          <w:rFonts w:ascii="Times New Roman" w:cs="Times New Roman" w:eastAsia="Times New Roman" w:hAnsi="Times New Roman"/>
          <w:sz w:val="18"/>
          <w:szCs w:val="18"/>
          <w:color w:val="auto"/>
        </w:rPr>
        <w:t xml:space="preserve">Further information regarding the reportable segments can be found in Note 16 to the consolidated condensed financial statements. </w:t>
      </w:r>
      <w:r>
        <w:rPr>
          <w:rFonts w:ascii="Times New Roman" w:cs="Times New Roman" w:eastAsia="Times New Roman" w:hAnsi="Times New Roman"/>
          <w:sz w:val="18"/>
          <w:szCs w:val="18"/>
          <w:b w:val="1"/>
          <w:bCs w:val="1"/>
          <w:color w:val="auto"/>
        </w:rPr>
        <w:t>Active Group</w:t>
      </w: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The Active Group’s revenue increased $44.9 million, or 13.7%, in the first quarter of 2026 compared to the first quarter of 2025. The revenue increase was primarily driven by increases of $26.1 million from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$19.1 million from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increase was primarily driven by strength in the EMEA wholesale channel and international third-party distributor business growth. The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increase was primarily driven by growth in the core Moab Speed franchises and new product in the lifestyle category, particularly in the wholesale channel.</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Active Group’s operating profit increased $8.3 million, or 14.3%, in the first quarter of 2026 compared to the first quarter of 2025. The operating profit increase was due to revenue increases, partially offset by an 80 basis point decrease in gross margin and a $10.9 million increase in selling, general and administrative expenses. The decrease in gross margin in the current year period was primarily due to increased U.S. tariff costs and unfavorable product mix. The increase in selling, general and administrative expenses in the current year period was primarily due to higher advertising and selling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 Group</w:t>
      </w:r>
    </w:p>
    <w:p>
      <w:pPr>
        <w:spacing w:after="0" w:line="108"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 xml:space="preserve">The Work Group’s revenue increased $0.9 million, or 1.2%, in the first quarter of 2026 compared to the first quarter of 2025. The Work Group’s revenue increase was primarily driven by $0.9 million from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$0.8 million from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partially offset by decreases of $1.0 million from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increases in consumer demand and higher closeout sales. The</w:t>
      </w:r>
      <w:r>
        <w:rPr>
          <w:rFonts w:ascii="Times New Roman" w:cs="Times New Roman" w:eastAsia="Times New Roman" w:hAnsi="Times New Roman"/>
          <w:sz w:val="18"/>
          <w:szCs w:val="18"/>
          <w:i w:val="1"/>
          <w:iCs w:val="1"/>
          <w:color w:val="auto"/>
        </w:rPr>
        <w:t xml:space="preserve"> 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primarily due to increased consumer demand in the U.S. wholesale channels and new retail distribution. The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decrease was primarily due to softer consumer demand within apparel and accessories and declines in international EMEA and Latin America markets due to a transition from third-party distributors to third-party licensees.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The Work Group’s operating profit decreased $0.6 million, or 8.5%, in the first quarter of 2026 compared to the first quarter of 2025. The operating profit decrease was due to a $2.1 million increase in selling, general and administrative expenses, partially offset by a 160 basis point increase in gross margin. The increase in selling, general and administrative expenses in the current year period was primarily due to higher advertising costs. The increase in gross margin in the current year period was primarily due to a favorable product mix within the international third party channel, partially offset by higher U.S. tariffs.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The Other category’s revenue decreased $0.5 million, or 4.6%, in the first quarter of 2026 compared to the first quarter of 2025. The revenue decrease was primarily driven by a decrease in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royalty revenue.</w:t>
      </w:r>
    </w:p>
    <w:p>
      <w:pPr>
        <w:spacing w:after="0" w:line="3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Other operating profit decreased $0.4 million, or 5.3%, in the first quarter of 2026 compared to the first quarter of 2025. The operating profit decrease in the first quarter of 2026 was primarily due to lower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royalty income.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decreased $5.6 million in the first quarter of 2026 compared to the first quarter of 2025, primarily due to lower corporate general and administrative costs ($2.7 million), lower environmental and other related costs ($1.9 million), lower reorganization activities ($1.8 million), lower bad debt expense ($0.7 million), partially offset by higher incentive compensation costs ($0.9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20" w:type="dxa"/>
            <w:vAlign w:val="bottom"/>
          </w:tcPr>
          <w:p>
            <w:pPr>
              <w:jc w:val="center"/>
              <w:ind w:left="422"/>
              <w:spacing w:after="0"/>
              <w:rPr>
                <w:sz w:val="20"/>
                <w:szCs w:val="20"/>
                <w:color w:val="auto"/>
              </w:rPr>
            </w:pPr>
            <w:r>
              <w:rPr>
                <w:rFonts w:ascii="Times New Roman" w:cs="Times New Roman" w:eastAsia="Times New Roman" w:hAnsi="Times New Roman"/>
                <w:sz w:val="14"/>
                <w:szCs w:val="14"/>
                <w:color w:val="auto"/>
              </w:rPr>
              <w:t>April 4,</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January 3,</w:t>
            </w:r>
          </w:p>
        </w:tc>
        <w:tc>
          <w:tcPr>
            <w:tcW w:w="280" w:type="dxa"/>
            <w:vAlign w:val="bottom"/>
          </w:tcPr>
          <w:p>
            <w:pPr>
              <w:spacing w:after="0"/>
              <w:rPr>
                <w:sz w:val="13"/>
                <w:szCs w:val="13"/>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80" w:type="dxa"/>
            <w:vAlign w:val="bottom"/>
            <w:gridSpan w:val="2"/>
            <w:vMerge w:val="continue"/>
          </w:tcPr>
          <w:p>
            <w:pPr>
              <w:spacing w:after="0"/>
              <w:rPr>
                <w:sz w:val="12"/>
                <w:szCs w:val="12"/>
                <w:color w:val="auto"/>
              </w:rPr>
            </w:pPr>
          </w:p>
        </w:tc>
        <w:tc>
          <w:tcPr>
            <w:tcW w:w="1020" w:type="dxa"/>
            <w:vAlign w:val="bottom"/>
          </w:tcPr>
          <w:p>
            <w:pPr>
              <w:jc w:val="right"/>
              <w:ind w:right="42"/>
              <w:spacing w:after="0" w:line="125" w:lineRule="exact"/>
              <w:rPr>
                <w:sz w:val="20"/>
                <w:szCs w:val="20"/>
                <w:color w:val="auto"/>
              </w:rPr>
            </w:pPr>
            <w:r>
              <w:rPr>
                <w:rFonts w:ascii="Times New Roman" w:cs="Times New Roman" w:eastAsia="Times New Roman" w:hAnsi="Times New Roman"/>
                <w:sz w:val="14"/>
                <w:szCs w:val="14"/>
                <w:color w:val="auto"/>
              </w:rPr>
              <w:t>2026</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ind w:right="537"/>
              <w:spacing w:after="0" w:line="125"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537"/>
              <w:spacing w:after="0" w:line="125"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638.9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Unborrowed revolving credit facility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net of both borrowings, if any, and outstanding standby letters of credit in accordance with the terms of the revolving credit facility.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and cash equivalents of $119.6 million as of April 4, 2026 were $13.1 million higher compared to March 29, 2025. The increase is due primarily to cash provided by operating activities of $140.6 million, proceeds from the exercise of stock options of $12.1 million, and proceeds from company owned life insurance of $2.2 million, partially offset by net repayments of debt of $73.0 million, cash dividends paid of $33.5 million, purchases of common stock of $14.5 million, employee taxes paid under stock-based compensation of $11.1 million, additions to property, plant and equipment of $8.6 million, and cash used in other investing activities of $1.5 million. The Company had $492.9 million of unborrowed under the Revolving Facility as of April 4, 2026. Cash and cash equivalents located in foreign jurisdictions totaled $92.9 million as of April 4, 2026.</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is expected to be sufficient to meet the Company’s working capital needs for the foreseeable future. Any excess cash flow from operating activities is expected to be used to fund organic growth initiatives, reduce debt, pay dividends and for general corporate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shares of its common stock during the first quarter of both 2026 and 2025.</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detailed discussion of environmental remediation costs is found in Note 15 to the consolidated condensed financial statements. The Company has established a reserve for estimated environmental remediation costs based upon an evaluation of currently available facts with respect to each individual affected site. As of April 4, 2026, the Company had a reserve of $25.5 million, of which $11.1 million is expected to be paid in the next 12 months and is recorded as a current obligation in other accrued liabilities and the remaining $14.4 million is recorded in other liabilities and is expected to be paid over the course of up to 25 years. The Company's remediation activity at its former Tannery site and sites where the Company disposed of Tannery byproducts is ongoing. It is difficult to estimate the cost of environmental compliance and remediation given the uncertainties regarding the interpretation and enforcement of applicable environmental laws and regulations, the extent of environmental contamination and the existence of alternative cleanup methods.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Developments may occur that could materially change the Company’s current cost estimates. The Company adjusts recorded liabilities as further information develops or circumstances change.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24 2025, the Company entered into a 2025 Replacement Facility Amendment and Reaffirmation Agreement (the “Credit Agreement”) to replace the existing revolving credit facility and term loan A facility. The Credit Agreement provides for a revolving credit facility (the “Revolving Facility”). The maturity date of the loans under the Revolving Facility is September 24, 2030. The Credit Agreement provides for a debt capacity of up to an aggregate debt amount (including existing revolver commitment amounts in addition to permitted incremental debt) not to exceed $850.0 million. The Revolving Facility allows the Company to borrow up to an aggregate amount of $600.0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$550.0 million 4.0% senior notes issued on August 26, 2021 are due on August 15, 2029. Related interest payments are due semi-annually.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notes are guaranteed by substantially all of the Company’s domestic subsidiaries.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4, 2026, the Company was in compliance with all covenants and performance ratios under the credit agreement.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debt at April 4, 2026 totaled $638.9 million compared to $621.7 million at January 3, 2026. The Company expects to use the current borrowings to fund organic growth initiatives and for general corporate purposes. The increased debt position is due to higher borrowings under the Revolving Facility mainly resulting from operating cash outflows, partially offset by lower cash balances.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 activities: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Quarter Ended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20" w:type="dxa"/>
            <w:vAlign w:val="bottom"/>
          </w:tcPr>
          <w:p>
            <w:pPr>
              <w:jc w:val="center"/>
              <w:ind w:left="422"/>
              <w:spacing w:after="0" w:line="133" w:lineRule="exact"/>
              <w:rPr>
                <w:sz w:val="20"/>
                <w:szCs w:val="20"/>
                <w:color w:val="auto"/>
              </w:rPr>
            </w:pPr>
            <w:r>
              <w:rPr>
                <w:rFonts w:ascii="Times New Roman" w:cs="Times New Roman" w:eastAsia="Times New Roman" w:hAnsi="Times New Roman"/>
                <w:sz w:val="14"/>
                <w:szCs w:val="14"/>
                <w:color w:val="auto"/>
              </w:rPr>
              <w:t>April 4,</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jc w:val="right"/>
              <w:ind w:right="377"/>
              <w:spacing w:after="0" w:line="133" w:lineRule="exact"/>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20" w:type="dxa"/>
            <w:vAlign w:val="bottom"/>
            <w:gridSpan w:val="2"/>
            <w:vMerge w:val="continue"/>
          </w:tcPr>
          <w:p>
            <w:pPr>
              <w:spacing w:after="0"/>
              <w:rPr>
                <w:sz w:val="12"/>
                <w:szCs w:val="12"/>
                <w:color w:val="auto"/>
              </w:rPr>
            </w:pPr>
          </w:p>
        </w:tc>
        <w:tc>
          <w:tcPr>
            <w:tcW w:w="1020" w:type="dxa"/>
            <w:vAlign w:val="bottom"/>
          </w:tcPr>
          <w:p>
            <w:pPr>
              <w:jc w:val="right"/>
              <w:ind w:right="42"/>
              <w:spacing w:after="0" w:line="125" w:lineRule="exact"/>
              <w:rPr>
                <w:sz w:val="20"/>
                <w:szCs w:val="20"/>
                <w:color w:val="auto"/>
              </w:rPr>
            </w:pPr>
            <w:r>
              <w:rPr>
                <w:rFonts w:ascii="Times New Roman" w:cs="Times New Roman" w:eastAsia="Times New Roman" w:hAnsi="Times New Roman"/>
                <w:sz w:val="14"/>
                <w:szCs w:val="14"/>
                <w:color w:val="auto"/>
              </w:rPr>
              <w:t>2026</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jc w:val="right"/>
              <w:ind w:right="537"/>
              <w:spacing w:after="0" w:line="125" w:lineRule="exact"/>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principal source of the Company’s operating cash flow is net earnings, including cash receipts from the sale of the Company’s products, net of costs of goods sold.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first quarter of 2026, an increase in net working capital represented a use of cash of $115.2 million. Working capital balances were unfavorably impacted by a decrease in other operating liabilities of $55.0 million, a decrease in accounts payable of $35.5 million, an increase in accounts receivable of $21.4 million, an increase in inventories of $7.6 million, partially offset by a decrease in other operating assets of $4.3 million. Operating cash flows included adjustments for stock-based compensation expense of $5.8 million, depreciation and amortization expense adjustment of $5.2 million, environmental and other related costs, net of cash payments and recoveries received, cash outflow of $1.9 million, and deferred income taxes of $0.2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made capital expenditures of $1.7 million and $7.6 million in the first quarter of 2026 and 2025, respectively, for corporate headquarters building improvements, eCommerce site and information system enhancements, and store openings.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year debt activity includes net borrowings under the Revolving Facility of $17.0 million. The Company paid $2.5 million in principal payments associated with its long-term debt during the first quarter of 2025. The Company paid $8.1 million and $7.7 million during the first quarter of 2026 and 2025, respectively, in connection with shares or units withheld to pay employee taxes related to awards under stock incentive plans. The Company received cash proceeds from the exercise of stock options of $0.2 million and $0.3 million during the first quarter of 2026 and 2025. The Company did not repurchase its shares in the first quarter of 2026 or 2025.</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declared cash dividends of $0.10 per share during the first quarter of 2026 and 2025. Dividends paid in the first quarter of 2026 and 2025 totaled $8.7 million and $8.5 million, respectively. A quarterly dividend of $0.10 per share was declared on May 6, 2026 to stockholders of record on July 1, 2026.</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consolidated condensed financial statements, which have been prepared in accordance with accounting principles generally accepted in the U.S. ("U.S. GAAP"), requires management to make estimates and assumptions that affect the amounts reported in the financial statements and accompanying notes. On an ongoing basis, management evaluates these estimates.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Historically, actual results have not been materially different from the Company’s estimates. However, actual results may differ materially from these estimates under different assumptions or conditions.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identified the critical accounting policies used in determining estimates and assumptions in the amounts reported. For information regarding our critical accounting policies refer to Part II, Item 7: “Management’s Discussion and Analysis of Financial Condition and Results of Operations” in the Company’s 2025 Form 10-K. Management believes there have been no material changes in those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faces market risk to the extent that changes in foreign currency exchange rates affect the Company’s foreign assets, liabilities and inventory purchase commitments. The Company manages these risks by attempting to denominate contractual and other foreign arrangements in U.S. dollars. The Company does not believe that there has been a material change in the nature of the Company’s primary market risk exposures, including the categories of market risk to which the Company is exposed and the particular markets that present the primary risk of loss to the Company. As of the date of this Quarterly Report on Form 10-Q, the Company does not know of any material change in the near-term in the general nature of its primary market risk exposure.</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provisions of Financial Accounting Standards Board Accounting Standards Codification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is required to recognize all derivatives on the balance sheet at fair value. Derivatives that are not qualifying hedges must be adjusted to fair value through earnings. If a derivative is a qualifying hedge, depending on the nature of the hedge, changes in the fair value of derivatives are either offset against the change in fair value of the hedged assets, liabilities or firm commitments through earnings or recognized in accumulated other comprehensive income (loss) until the hedged item is recognized in earnings.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conducts wholesale operations outside of the U.S. in Canada, continental Europe, the United Kingdom, Hong Kong, China and Mexico where the functional currencies are primarily the Canadian dollar, euro, British pound, Hong Kong dollar, Chinese renminbi and Mexican peso, respectively. The Company utilizes foreign currency forward exchange contracts to manage the volatility associated primarily with U.S. dollar inventory purchases made by non-U.S. wholesale operations in the normal course of business as well as to manage foreign currency translation exposure. As of April 4, 2026 and March 29, 2025, the Company had outstanding forward currency exchange contracts to purchase primarily U.S. dollars in the amounts of $302.6 million and $255.3 million, respectively, with maturities ranging up to 538 and 538 days, respectively.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sourcing locations in Asia, where financial statements reflect the U.S. dollar as the functional currency. However, operating costs are paid in the local currency. Revenue generated by the Company from third-party foreign licensees is calculated in the local currencies but paid in U.S. dollars. Accordingly, the Company’s reported results are subject to foreign currency exposure for this stream of revenue and expenses. Any associated foreign currency gains or losses on the settlement of local currency amounts are reflected within the Company's consolidated condensed statement of operations and comprehensive income (loss).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outside the U.S. are primarily located in the United Kingdom, Canada and the Netherlands. The Company’s investments in foreign subsidiaries with a functional currency other than the U.S. dollar are generally considered long-term. As of April 4, 2026, a stronger U.S. dollar compared to certain foreign currencies decreased the value of these investments in net assets by $7.7 million from their value as of January 3, 2026. As of March 29, 2025, a weaker U.S. dollar compared to certain foreign currencies increased the value of these investments in net assets by $7.7 million from their value as of December 28, 2024.</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interest rate changes primarily as a result of interest expense on any borrowings under the Revolving Facility. The Company’s total variable-rate debt was $92.0 million at April 4,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enter into contracts for speculative or trading purposes, nor is it a party to any leveraged derivative instruments.</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the Company’s management, including the Chief Executive Officer and Chief Financial Officer, of the effectiveness of the design and operation of the Company’s disclosure controls and procedures. Based on, and as of the time of such evaluation, the Company’s management, including the Chief Executive Officer and Chief Financial Officer, concluded that the Company’s disclosure controls and procedures, as defined in Securities Exchange Act Rule 13a-15(e), were effective as of the end of the period covered by this report. There have been no changes during the quarter ended April 4,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6" w:name="page27"/>
    <w:bookmarkEnd w:id="26"/>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involved in litigation and various legal matters arising in the normal course of business, including certain environmental compliance activities. For a discussion of legal matters, refer to Note 15 to the Company’s consolidated condensed financial statements.</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risks and uncertainties discussed in Part I, Item 1A. “Risk Factors” in the Company’s 2025 Form 10-K, which could materially adversely affect our business, financial condition, or future results. There have been no material changes in the assessment of the Company’s risk factors from those set forth in the Company’s 2025 Form 10-K.</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purchases of its own common stock during the first quarter of 2026.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 Shares</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Maximum Dollar Amount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Purchased as Part of</w:t>
            </w:r>
          </w:p>
        </w:tc>
        <w:tc>
          <w:tcPr>
            <w:tcW w:w="164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that May Yet Be Purchased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2140" w:type="dxa"/>
            <w:vAlign w:val="bottom"/>
            <w:gridSpan w:val="2"/>
          </w:tcPr>
          <w:p>
            <w:pPr>
              <w:jc w:val="center"/>
              <w:ind w:left="514"/>
              <w:spacing w:after="0" w:line="158" w:lineRule="exact"/>
              <w:rPr>
                <w:sz w:val="20"/>
                <w:szCs w:val="20"/>
                <w:color w:val="auto"/>
              </w:rPr>
            </w:pPr>
            <w:r>
              <w:rPr>
                <w:rFonts w:ascii="Times New Roman" w:cs="Times New Roman" w:eastAsia="Times New Roman" w:hAnsi="Times New Roman"/>
                <w:sz w:val="14"/>
                <w:szCs w:val="14"/>
                <w:color w:val="auto"/>
                <w:w w:val="99"/>
              </w:rPr>
              <w:t>Total Number of</w:t>
            </w:r>
          </w:p>
        </w:tc>
        <w:tc>
          <w:tcPr>
            <w:tcW w:w="1420" w:type="dxa"/>
            <w:vAlign w:val="bottom"/>
            <w:gridSpan w:val="2"/>
          </w:tcPr>
          <w:p>
            <w:pPr>
              <w:ind w:left="260"/>
              <w:spacing w:after="0" w:line="158" w:lineRule="exact"/>
              <w:rPr>
                <w:sz w:val="20"/>
                <w:szCs w:val="20"/>
                <w:color w:val="auto"/>
              </w:rPr>
            </w:pPr>
            <w:r>
              <w:rPr>
                <w:rFonts w:ascii="Times New Roman" w:cs="Times New Roman" w:eastAsia="Times New Roman" w:hAnsi="Times New Roman"/>
                <w:sz w:val="14"/>
                <w:szCs w:val="14"/>
                <w:color w:val="auto"/>
              </w:rPr>
              <w:t>Average Price</w:t>
            </w:r>
          </w:p>
        </w:tc>
        <w:tc>
          <w:tcPr>
            <w:tcW w:w="17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color w:val="auto"/>
              </w:rPr>
              <w:t>Publicly Announced Plans</w:t>
            </w:r>
          </w:p>
        </w:tc>
        <w:tc>
          <w:tcPr>
            <w:tcW w:w="200" w:type="dxa"/>
            <w:vAlign w:val="bottom"/>
          </w:tcPr>
          <w:p>
            <w:pPr>
              <w:spacing w:after="0"/>
              <w:rPr>
                <w:sz w:val="13"/>
                <w:szCs w:val="13"/>
                <w:color w:val="auto"/>
              </w:rPr>
            </w:pPr>
          </w:p>
        </w:tc>
        <w:tc>
          <w:tcPr>
            <w:tcW w:w="1440" w:type="dxa"/>
            <w:vAlign w:val="bottom"/>
          </w:tcPr>
          <w:p>
            <w:pPr>
              <w:jc w:val="center"/>
              <w:ind w:right="116"/>
              <w:spacing w:after="0" w:line="158" w:lineRule="exact"/>
              <w:rPr>
                <w:sz w:val="20"/>
                <w:szCs w:val="20"/>
                <w:color w:val="auto"/>
              </w:rPr>
            </w:pPr>
            <w:r>
              <w:rPr>
                <w:rFonts w:ascii="Times New Roman" w:cs="Times New Roman" w:eastAsia="Times New Roman" w:hAnsi="Times New Roman"/>
                <w:sz w:val="14"/>
                <w:szCs w:val="14"/>
                <w:color w:val="auto"/>
              </w:rPr>
              <w:t>Under the Plans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gridSpan w:val="2"/>
            <w:vMerge w:val="continue"/>
          </w:tcPr>
          <w:p>
            <w:pPr>
              <w:spacing w:after="0"/>
              <w:rPr>
                <w:sz w:val="12"/>
                <w:szCs w:val="12"/>
                <w:color w:val="auto"/>
              </w:rPr>
            </w:pPr>
          </w:p>
        </w:tc>
        <w:tc>
          <w:tcPr>
            <w:tcW w:w="2140" w:type="dxa"/>
            <w:vAlign w:val="bottom"/>
            <w:gridSpan w:val="2"/>
          </w:tcPr>
          <w:p>
            <w:pPr>
              <w:jc w:val="center"/>
              <w:ind w:left="514"/>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14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Paid per Share</w:t>
            </w: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or Programs</w:t>
            </w:r>
          </w:p>
        </w:tc>
        <w:tc>
          <w:tcPr>
            <w:tcW w:w="200" w:type="dxa"/>
            <w:vAlign w:val="bottom"/>
          </w:tcPr>
          <w:p>
            <w:pPr>
              <w:spacing w:after="0"/>
              <w:rPr>
                <w:sz w:val="12"/>
                <w:szCs w:val="12"/>
                <w:color w:val="auto"/>
              </w:rPr>
            </w:pPr>
          </w:p>
        </w:tc>
        <w:tc>
          <w:tcPr>
            <w:tcW w:w="14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color w:val="auto"/>
              </w:rPr>
              <w:t>Programs</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1 (January 3, 2026 to February 7, 2026)</w:t>
            </w: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ind w:left="380"/>
              <w:spacing w:after="0" w:line="230" w:lineRule="exact"/>
              <w:rPr>
                <w:sz w:val="20"/>
                <w:szCs w:val="20"/>
                <w:color w:val="auto"/>
              </w:rPr>
            </w:pPr>
            <w:r>
              <w:rPr>
                <w:rFonts w:ascii="Times New Roman" w:cs="Times New Roman" w:eastAsia="Times New Roman" w:hAnsi="Times New Roman"/>
                <w:sz w:val="18"/>
                <w:szCs w:val="18"/>
                <w:color w:val="auto"/>
              </w:rPr>
              <w:t>Common Stock Repurchase Program</w:t>
            </w:r>
            <w:r>
              <w:rPr>
                <w:rFonts w:ascii="Times New Roman" w:cs="Times New Roman" w:eastAsia="Times New Roman" w:hAnsi="Times New Roman"/>
                <w:sz w:val="23"/>
                <w:szCs w:val="23"/>
                <w:color w:val="auto"/>
                <w:vertAlign w:val="superscript"/>
              </w:rPr>
              <w:t>(1)</w:t>
            </w: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135,486,851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Employee Transactions</w:t>
            </w:r>
            <w:r>
              <w:rPr>
                <w:rFonts w:ascii="Times New Roman" w:cs="Times New Roman" w:eastAsia="Times New Roman" w:hAnsi="Times New Roman"/>
                <w:sz w:val="23"/>
                <w:szCs w:val="23"/>
                <w:color w:val="auto"/>
                <w:vertAlign w:val="superscript"/>
              </w:rPr>
              <w:t>(2)</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220,172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2 (February 8, 2026 to March 7, 2026)</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Common Stock Repurchase Program</w:t>
            </w:r>
            <w:r>
              <w:rPr>
                <w:rFonts w:ascii="Times New Roman" w:cs="Times New Roman" w:eastAsia="Times New Roman" w:hAnsi="Times New Roman"/>
                <w:sz w:val="23"/>
                <w:szCs w:val="23"/>
                <w:color w:val="auto"/>
                <w:vertAlign w:val="superscript"/>
              </w:rPr>
              <w:t>(1)</w:t>
            </w:r>
          </w:p>
        </w:tc>
        <w:tc>
          <w:tcPr>
            <w:tcW w:w="2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135,486,851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2"/>
          </w:tcPr>
          <w:p>
            <w:pPr>
              <w:ind w:left="380"/>
              <w:spacing w:after="0" w:line="230" w:lineRule="exact"/>
              <w:rPr>
                <w:sz w:val="20"/>
                <w:szCs w:val="20"/>
                <w:color w:val="auto"/>
              </w:rPr>
            </w:pPr>
            <w:r>
              <w:rPr>
                <w:rFonts w:ascii="Times New Roman" w:cs="Times New Roman" w:eastAsia="Times New Roman" w:hAnsi="Times New Roman"/>
                <w:sz w:val="18"/>
                <w:szCs w:val="18"/>
                <w:color w:val="auto"/>
              </w:rPr>
              <w:t>Employee Transactions</w:t>
            </w:r>
            <w:r>
              <w:rPr>
                <w:rFonts w:ascii="Times New Roman" w:cs="Times New Roman" w:eastAsia="Times New Roman" w:hAnsi="Times New Roman"/>
                <w:sz w:val="23"/>
                <w:szCs w:val="23"/>
                <w:color w:val="auto"/>
                <w:vertAlign w:val="superscript"/>
              </w:rPr>
              <w:t>(2)</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219,217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tcPr>
          <w:p>
            <w:pPr>
              <w:spacing w:after="0"/>
              <w:rPr>
                <w:sz w:val="19"/>
                <w:szCs w:val="19"/>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3 (March 8, 2026 to April 4, 2026)</w:t>
            </w: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ind w:left="380"/>
              <w:spacing w:after="0" w:line="230" w:lineRule="exact"/>
              <w:rPr>
                <w:sz w:val="20"/>
                <w:szCs w:val="20"/>
                <w:color w:val="auto"/>
              </w:rPr>
            </w:pPr>
            <w:r>
              <w:rPr>
                <w:rFonts w:ascii="Times New Roman" w:cs="Times New Roman" w:eastAsia="Times New Roman" w:hAnsi="Times New Roman"/>
                <w:sz w:val="18"/>
                <w:szCs w:val="18"/>
                <w:color w:val="auto"/>
              </w:rPr>
              <w:t>Common Stock Repurchase Program</w:t>
            </w:r>
            <w:r>
              <w:rPr>
                <w:rFonts w:ascii="Times New Roman" w:cs="Times New Roman" w:eastAsia="Times New Roman" w:hAnsi="Times New Roman"/>
                <w:sz w:val="23"/>
                <w:szCs w:val="23"/>
                <w:color w:val="auto"/>
                <w:vertAlign w:val="superscript"/>
              </w:rPr>
              <w:t>(1)</w:t>
            </w: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135,486,851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Employee Transactions</w:t>
            </w:r>
            <w:r>
              <w:rPr>
                <w:rFonts w:ascii="Times New Roman" w:cs="Times New Roman" w:eastAsia="Times New Roman" w:hAnsi="Times New Roman"/>
                <w:sz w:val="23"/>
                <w:szCs w:val="23"/>
                <w:color w:val="auto"/>
                <w:vertAlign w:val="superscript"/>
              </w:rPr>
              <w:t>(2)</w:t>
            </w:r>
          </w:p>
        </w:tc>
        <w:tc>
          <w:tcPr>
            <w:tcW w:w="2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for the First Quarter Ended April 4, 2026</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Common Stock Repurchase Program</w:t>
            </w:r>
            <w:r>
              <w:rPr>
                <w:rFonts w:ascii="Times New Roman" w:cs="Times New Roman" w:eastAsia="Times New Roman" w:hAnsi="Times New Roman"/>
                <w:sz w:val="23"/>
                <w:szCs w:val="23"/>
                <w:color w:val="auto"/>
                <w:vertAlign w:val="superscript"/>
              </w:rPr>
              <w:t>(1)</w:t>
            </w:r>
          </w:p>
        </w:tc>
        <w:tc>
          <w:tcPr>
            <w:tcW w:w="2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135,486,851</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Employee Transactions</w:t>
            </w:r>
            <w:r>
              <w:rPr>
                <w:rFonts w:ascii="Times New Roman" w:cs="Times New Roman" w:eastAsia="Times New Roman" w:hAnsi="Times New Roman"/>
                <w:sz w:val="23"/>
                <w:szCs w:val="23"/>
                <w:color w:val="auto"/>
                <w:vertAlign w:val="superscript"/>
              </w:rPr>
              <w:t>(2)</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439,389</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20" w:type="dxa"/>
            <w:vAlign w:val="bottom"/>
          </w:tcPr>
          <w:p>
            <w:pPr>
              <w:spacing w:after="0"/>
              <w:rPr>
                <w:sz w:val="24"/>
                <w:szCs w:val="24"/>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0" w:hanging="332"/>
        <w:spacing w:after="0" w:line="22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March 7, 2024, the Company’s Board of Directors approved a common stock repurchase program that authorized the repurchase of $150.0 million of common stock over a three-year period. Since that date, the Company repurchased $14.5 million of common stock.</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Employee transactions include restricted shares and units withheld to offset statutory minimum tax withholding that occurs upon vesting of restricted shares and units. The Company’s employee stock compensation plans provide that the shares delivered or attested to, or withheld, shall be valued at the closing price of the Company’s common stock on the date the relevant transaction occurs.</w:t>
      </w:r>
    </w:p>
    <w:p>
      <w:pPr>
        <w:spacing w:after="0" w:line="1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9" w:lineRule="exact"/>
        <w:rPr>
          <w:sz w:val="20"/>
          <w:szCs w:val="20"/>
          <w:color w:val="auto"/>
        </w:rPr>
      </w:pPr>
    </w:p>
    <w:p>
      <w:pPr>
        <w:ind w:firstLine="8"/>
        <w:spacing w:after="0" w:line="282" w:lineRule="auto"/>
        <w:tabs>
          <w:tab w:leader="none" w:pos="2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2026, Jeffrey M. Boromisa, a member of our Board of Directors, adopted a trading plan intended to satisfy Rule 10b5-1(c) to sell up to 125,000 shares of Wolverine World Wide, Inc. common stock between July 1, 2026 and June 30, 2027, subject to certain conditions.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112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Exhibits filed as a part of this Form 10-Q are incorporated by reference herein.</w:t>
            </w:r>
          </w:p>
        </w:tc>
        <w:tc>
          <w:tcPr>
            <w:tcW w:w="0" w:type="dxa"/>
            <w:vAlign w:val="bottom"/>
          </w:tcPr>
          <w:p>
            <w:pPr>
              <w:spacing w:after="0"/>
              <w:rPr>
                <w:sz w:val="1"/>
                <w:szCs w:val="1"/>
                <w:color w:val="auto"/>
              </w:rPr>
            </w:pPr>
          </w:p>
        </w:tc>
      </w:tr>
      <w:tr>
        <w:trPr>
          <w:trHeight w:val="245"/>
        </w:trPr>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40" w:type="dxa"/>
            <w:vAlign w:val="bottom"/>
            <w:gridSpan w:val="6"/>
            <w:vMerge w:val="restart"/>
          </w:tcPr>
          <w:p>
            <w:pPr>
              <w:ind w:left="302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5"/>
        </w:trPr>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4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gridSpan w:val="8"/>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Amended and Restated Certificate of Incorporation. Incorporated by reference to Exhibit 3.1 to the Company’s Current Report on Form 8-K</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filed on April 24, 2014.</w:t>
              </w:r>
            </w:hyperlink>
          </w:p>
        </w:tc>
        <w:tc>
          <w:tcPr>
            <w:tcW w:w="840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8"/>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Amended and Restated By-laws. Incorporated by reference to Exhibit 3.1 to the Company’s Current Report on Form 8-K filed on</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November 7, 2022.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Form of Performance Stock Unit Agreement (2026 - 2028 performance period).*</w:t>
            </w:r>
          </w:p>
        </w:tc>
        <w:tc>
          <w:tcPr>
            <w:tcW w:w="430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President under Section 302 of the Sarbanes-Oxley Act of 2002.</w:t>
            </w:r>
          </w:p>
        </w:tc>
        <w:tc>
          <w:tcPr>
            <w:tcW w:w="0" w:type="dxa"/>
            <w:vAlign w:val="bottom"/>
          </w:tcPr>
          <w:p>
            <w:pPr>
              <w:spacing w:after="0"/>
              <w:rPr>
                <w:sz w:val="1"/>
                <w:szCs w:val="1"/>
                <w:color w:val="auto"/>
              </w:rPr>
            </w:pPr>
          </w:p>
        </w:tc>
      </w:tr>
      <w:tr>
        <w:trPr>
          <w:trHeight w:val="26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and Treasurer under Section 302 of the Sarbanes-Oxley Act of 2002.</w:t>
            </w:r>
          </w:p>
        </w:tc>
        <w:tc>
          <w:tcPr>
            <w:tcW w:w="23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100" w:hanging="1074"/>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§1350.</w:t>
      </w:r>
    </w:p>
    <w:p>
      <w:pPr>
        <w:spacing w:after="0" w:line="77" w:lineRule="exact"/>
        <w:rPr>
          <w:sz w:val="20"/>
          <w:szCs w:val="20"/>
          <w:color w:val="auto"/>
        </w:rPr>
      </w:pPr>
    </w:p>
    <w:p>
      <w:pPr>
        <w:jc w:val="both"/>
        <w:ind w:left="1100" w:right="20" w:hanging="1074"/>
        <w:spacing w:after="0" w:line="224" w:lineRule="auto"/>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 April 4, 2026, formatted in Inline XBRL: (i) Consolidated Condensed Statements of Operations and Comprehensive Income (Loss); (ii) Consolidated Condensed Balance Sheets; (iii) Consolidated Condensed Statements of Cash Flows; (iv) Consolidated Condensed Statements of Stockholders’ Equity; and (v) Notes to Consolidated Condensed Financial Statements.</w:t>
      </w:r>
    </w:p>
    <w:p>
      <w:pPr>
        <w:spacing w:after="0" w:line="51" w:lineRule="exact"/>
        <w:rPr>
          <w:sz w:val="20"/>
          <w:szCs w:val="20"/>
          <w:color w:val="auto"/>
        </w:rPr>
      </w:pPr>
    </w:p>
    <w:p>
      <w:pPr>
        <w:ind w:left="1100" w:right="40" w:hanging="1074"/>
        <w:spacing w:after="0" w:line="250" w:lineRule="auto"/>
        <w:tabs>
          <w:tab w:leader="none" w:pos="11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the Company’s Quarterly Report on Form 10-Q for the quarter ended April 4, 2026, formatted in Inline XBRL (included in Exhibit 101).</w:t>
      </w:r>
    </w:p>
    <w:p>
      <w:pPr>
        <w:spacing w:after="0" w:line="12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WOLVERINE WORLD WIDE, INC.</w:t>
            </w:r>
          </w:p>
        </w:tc>
      </w:tr>
      <w:tr>
        <w:trPr>
          <w:trHeight w:val="76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14, 2026</w:t>
            </w: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Christopher E. Hufnagel</w:t>
            </w:r>
          </w:p>
        </w:tc>
      </w:tr>
      <w:tr>
        <w:trPr>
          <w:trHeight w:val="169"/>
        </w:trPr>
        <w:tc>
          <w:tcPr>
            <w:tcW w:w="34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Date</w:t>
            </w:r>
          </w:p>
        </w:tc>
        <w:tc>
          <w:tcPr>
            <w:tcW w:w="1840" w:type="dxa"/>
            <w:vAlign w:val="bottom"/>
          </w:tcPr>
          <w:p>
            <w:pPr>
              <w:spacing w:after="0"/>
              <w:rPr>
                <w:sz w:val="14"/>
                <w:szCs w:val="14"/>
                <w:color w:val="auto"/>
              </w:rPr>
            </w:pPr>
          </w:p>
        </w:tc>
        <w:tc>
          <w:tcPr>
            <w:tcW w:w="5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Christopher E. Hufnagel</w:t>
            </w:r>
          </w:p>
        </w:tc>
      </w:tr>
      <w:tr>
        <w:trPr>
          <w:trHeight w:val="175"/>
        </w:trPr>
        <w:tc>
          <w:tcPr>
            <w:tcW w:w="3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 and Duly Authorized Signatory for Registrant)</w:t>
            </w:r>
          </w:p>
        </w:tc>
      </w:tr>
      <w:tr>
        <w:trPr>
          <w:trHeight w:val="751"/>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14, 2026</w:t>
            </w: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Taryn L. Miller</w:t>
            </w:r>
          </w:p>
        </w:tc>
      </w:tr>
      <w:tr>
        <w:trPr>
          <w:trHeight w:val="169"/>
        </w:trPr>
        <w:tc>
          <w:tcPr>
            <w:tcW w:w="34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Date</w:t>
            </w:r>
          </w:p>
        </w:tc>
        <w:tc>
          <w:tcPr>
            <w:tcW w:w="1840" w:type="dxa"/>
            <w:vAlign w:val="bottom"/>
          </w:tcPr>
          <w:p>
            <w:pPr>
              <w:spacing w:after="0"/>
              <w:rPr>
                <w:sz w:val="14"/>
                <w:szCs w:val="14"/>
                <w:color w:val="auto"/>
              </w:rPr>
            </w:pPr>
          </w:p>
        </w:tc>
        <w:tc>
          <w:tcPr>
            <w:tcW w:w="5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Taryn L. Miller</w:t>
            </w:r>
          </w:p>
        </w:tc>
      </w:tr>
      <w:tr>
        <w:trPr>
          <w:trHeight w:val="176"/>
        </w:trPr>
        <w:tc>
          <w:tcPr>
            <w:tcW w:w="3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184"/>
        </w:trPr>
        <w:tc>
          <w:tcPr>
            <w:tcW w:w="3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(Principal Financial and Accounting Officer and Duly Authorized Signatory for</w:t>
            </w:r>
          </w:p>
        </w:tc>
      </w:tr>
      <w:tr>
        <w:trPr>
          <w:trHeight w:val="234"/>
        </w:trPr>
        <w:tc>
          <w:tcPr>
            <w:tcW w:w="3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887" w:right="3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U.S. Performance Restricted Stock Unit Agreement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40575" cy="325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PERFORMANCE RESTRICTED STOCK UNIT AWARD AGREEMENT</w:t>
      </w:r>
    </w:p>
    <w:p>
      <w:pPr>
        <w:spacing w:after="0" w:line="220"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20"/>
          <w:szCs w:val="20"/>
          <w:color w:val="auto"/>
        </w:rPr>
        <w:t>This Performance Restricted Stock Unit Award Agreement (together with Attachment 1 hereto,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as of the award date set forth in the grant (the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by and between WOLVERINE WORLD WIDE, INC., a Delaware corporation (“</w:t>
      </w:r>
      <w:r>
        <w:rPr>
          <w:rFonts w:ascii="Times New Roman" w:cs="Times New Roman" w:eastAsia="Times New Roman" w:hAnsi="Times New Roman"/>
          <w:sz w:val="20"/>
          <w:szCs w:val="20"/>
          <w:b w:val="1"/>
          <w:bCs w:val="1"/>
          <w:color w:val="auto"/>
        </w:rPr>
        <w:t>Wolverine</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the employee identified in the grant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right="260" w:firstLine="1296"/>
        <w:spacing w:after="0" w:line="270" w:lineRule="auto"/>
        <w:rPr>
          <w:sz w:val="20"/>
          <w:szCs w:val="20"/>
          <w:color w:val="auto"/>
        </w:rPr>
      </w:pPr>
      <w:r>
        <w:rPr>
          <w:rFonts w:ascii="Times New Roman" w:cs="Times New Roman" w:eastAsia="Times New Roman" w:hAnsi="Times New Roman"/>
          <w:sz w:val="20"/>
          <w:szCs w:val="20"/>
          <w:color w:val="auto"/>
        </w:rPr>
        <w:t>Wolverine maintains a Stock Incentive Plan of 2024 (as it may be further amended from time to time,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that is administered by the Compensation and Human Capital Committee of Wolverine’s Board of Directors (the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under which the Committee may award restricted stock units as all or part of a long-term incentive award.</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Committee has determined (i) that Employee is eligible to participate in the Plan and receive a long-term incentive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award, (ii) Employee’s participation level, and (iii) the performance criteria for the award. The Committee has awarded to Employee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restricted stock units of Wolverine subject to the terms, conditions and restrictions contained in this Agreement and in the Plan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Stock Unit Award</w:t>
      </w:r>
      <w:r>
        <w:rPr>
          <w:rFonts w:ascii="Times New Roman" w:cs="Times New Roman" w:eastAsia="Times New Roman" w:hAnsi="Times New Roman"/>
          <w:sz w:val="20"/>
          <w:szCs w:val="20"/>
          <w:color w:val="auto"/>
        </w:rPr>
        <w:t>”). Employee acknowledges receipt of a copy of the Plan and accepts this Restricted Stock Unit Award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all such terms, conditions and restrictions.</w:t>
      </w:r>
    </w:p>
    <w:p>
      <w:pPr>
        <w:spacing w:after="0" w:line="187" w:lineRule="exact"/>
        <w:rPr>
          <w:sz w:val="20"/>
          <w:szCs w:val="20"/>
          <w:color w:val="auto"/>
        </w:rPr>
      </w:pPr>
    </w:p>
    <w:p>
      <w:pPr>
        <w:ind w:right="80" w:firstLine="1304"/>
        <w:spacing w:after="0" w:line="212" w:lineRule="auto"/>
        <w:tabs>
          <w:tab w:leader="none" w:pos="1944" w:val="left"/>
        </w:tabs>
        <w:numPr>
          <w:ilvl w:val="0"/>
          <w:numId w:val="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Wolverine hereby awards to Employee the Restricted Stock Unit Award consisting of a target number of restricted stock units as set forth in the grant (the “</w:t>
      </w:r>
      <w:r>
        <w:rPr>
          <w:rFonts w:ascii="Times New Roman" w:cs="Times New Roman" w:eastAsia="Times New Roman" w:hAnsi="Times New Roman"/>
          <w:sz w:val="20"/>
          <w:szCs w:val="20"/>
          <w:b w:val="1"/>
          <w:bCs w:val="1"/>
          <w:color w:val="auto"/>
        </w:rPr>
        <w:t>Restricted Stock Units</w:t>
      </w:r>
      <w:r>
        <w:rPr>
          <w:rFonts w:ascii="Times New Roman" w:cs="Times New Roman" w:eastAsia="Times New Roman" w:hAnsi="Times New Roman"/>
          <w:sz w:val="20"/>
          <w:szCs w:val="20"/>
          <w:color w:val="auto"/>
        </w:rPr>
        <w:t>”), which shall be eligible to vest in accordance with the terms of this Agreement and the Plan. The ultimate “</w:t>
      </w:r>
      <w:r>
        <w:rPr>
          <w:rFonts w:ascii="Times New Roman" w:cs="Times New Roman" w:eastAsia="Times New Roman" w:hAnsi="Times New Roman"/>
          <w:sz w:val="20"/>
          <w:szCs w:val="20"/>
          <w:b w:val="1"/>
          <w:bCs w:val="1"/>
          <w:color w:val="auto"/>
        </w:rPr>
        <w:t>Incentive Award</w:t>
      </w:r>
      <w:r>
        <w:rPr>
          <w:rFonts w:ascii="Times New Roman" w:cs="Times New Roman" w:eastAsia="Times New Roman" w:hAnsi="Times New Roman"/>
          <w:sz w:val="20"/>
          <w:szCs w:val="20"/>
          <w:color w:val="auto"/>
        </w:rPr>
        <w:t>” received by Employee will be the number of Restricted Stock Units that vest hereunder as determined by the Committee. Each Restricted Stock Unit represents the conditional right to receive, without payment but subject to the terms, conditions and limitations set forth in this Agreement and in the Plan, one share of common stock of the Company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in accordance with this Agreement. On the Payout Date (as defined in Attachment 1), the Company shall deliver to Employee a number of shares of Common Stock in respect of the Restricted Stock Units that vest hereunder, together with any Dividend Equivalents (as defined below) thereon, or, at the option of the Company, a cash payment in an amount equal to the Fair Market Value on the Payout Date multiplied by the number of shares of Common Stock in respect of the Restricted Stock Units that vest hereunder, together with any Dividend Equivalents thereon, subject to any applicable withholdings required by applicable law.</w:t>
      </w:r>
    </w:p>
    <w:p>
      <w:pPr>
        <w:spacing w:after="0" w:line="169" w:lineRule="exact"/>
        <w:rPr>
          <w:rFonts w:ascii="Times New Roman" w:cs="Times New Roman" w:eastAsia="Times New Roman" w:hAnsi="Times New Roman"/>
          <w:sz w:val="20"/>
          <w:szCs w:val="20"/>
          <w:color w:val="010000"/>
        </w:rPr>
      </w:pPr>
    </w:p>
    <w:p>
      <w:pPr>
        <w:ind w:right="320" w:firstLine="1304"/>
        <w:spacing w:after="0" w:line="222" w:lineRule="auto"/>
        <w:tabs>
          <w:tab w:leader="none" w:pos="1944" w:val="left"/>
        </w:tabs>
        <w:numPr>
          <w:ilvl w:val="0"/>
          <w:numId w:val="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Until the Restricted Stock Units vest as set forth in Section 3 below and Attachment 1, the Plan provides that Restricted Stock Units are generally not transferable by Employee except by will or according to the laws of descent and distribution. The Plan further provides that all rights with respect to the Restricted Stock Units are exercisable during Employee’s lifetime only by Employee, Employee’s guardian or legal representative.</w:t>
      </w:r>
    </w:p>
    <w:p>
      <w:pPr>
        <w:spacing w:after="0" w:line="148" w:lineRule="exact"/>
        <w:rPr>
          <w:rFonts w:ascii="Times New Roman" w:cs="Times New Roman" w:eastAsia="Times New Roman" w:hAnsi="Times New Roman"/>
          <w:sz w:val="20"/>
          <w:szCs w:val="20"/>
          <w:color w:val="010000"/>
        </w:rPr>
      </w:pPr>
    </w:p>
    <w:p>
      <w:pPr>
        <w:ind w:right="420" w:firstLine="1304"/>
        <w:spacing w:after="0"/>
        <w:tabs>
          <w:tab w:leader="none" w:pos="1944" w:val="left"/>
        </w:tabs>
        <w:numPr>
          <w:ilvl w:val="0"/>
          <w:numId w:val="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Except as otherwise provided in this Agreement or by action of the Committee to reduce the number of Restricted Stock Units that would otherwise vest hereunder, the Restricted Stock Units shall vest as set forth in Attachment 1.</w:t>
      </w:r>
    </w:p>
    <w:p>
      <w:pPr>
        <w:spacing w:after="0" w:line="161"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0"/>
          <w:numId w:val="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Termination of Employment Status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700" w:hanging="396"/>
        <w:spacing w:after="0"/>
        <w:tabs>
          <w:tab w:leader="none" w:pos="17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subsection (b) or Section 5 below, Employee:</w:t>
      </w:r>
    </w:p>
    <w:p>
      <w:pPr>
        <w:spacing w:after="0" w:line="256" w:lineRule="exact"/>
        <w:rPr>
          <w:rFonts w:ascii="Times New Roman" w:cs="Times New Roman" w:eastAsia="Times New Roman" w:hAnsi="Times New Roman"/>
          <w:sz w:val="20"/>
          <w:szCs w:val="20"/>
          <w:color w:val="auto"/>
        </w:rPr>
      </w:pPr>
    </w:p>
    <w:p>
      <w:pPr>
        <w:ind w:right="440" w:firstLine="602"/>
        <w:spacing w:after="0" w:line="283" w:lineRule="auto"/>
        <w:tabs>
          <w:tab w:leader="none" w:pos="117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be an employee of the Company or one of its subsidiaries at the time the Committee certifies the achievement of the Performance Period performance criteria for the vesting of any portion of the Restricted Stock Unit Award; and</w:t>
      </w:r>
    </w:p>
    <w:p>
      <w:pPr>
        <w:spacing w:after="0" w:line="173" w:lineRule="exact"/>
        <w:rPr>
          <w:rFonts w:ascii="Times New Roman" w:cs="Times New Roman" w:eastAsia="Times New Roman" w:hAnsi="Times New Roman"/>
          <w:sz w:val="20"/>
          <w:szCs w:val="20"/>
          <w:color w:val="auto"/>
        </w:rPr>
      </w:pPr>
    </w:p>
    <w:p>
      <w:pPr>
        <w:ind w:right="740" w:firstLine="602"/>
        <w:spacing w:after="0" w:line="283" w:lineRule="auto"/>
        <w:tabs>
          <w:tab w:leader="none" w:pos="103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forfeit the entire unvested Restricted Stock Unit Award if, before such certification, Employee’s employment with Wolverine or its subsidiaries terminates (the</w:t>
      </w:r>
    </w:p>
    <w:p>
      <w:pPr>
        <w:sectPr>
          <w:pgSz w:w="11900" w:h="16838" w:orient="portrait"/>
          <w:cols w:equalWidth="0" w:num="1">
            <w:col w:w="11240"/>
          </w:cols>
          <w:pgMar w:left="320" w:top="12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Employment Termination</w:t>
      </w:r>
      <w:r>
        <w:rPr>
          <w:rFonts w:ascii="Times New Roman" w:cs="Times New Roman" w:eastAsia="Times New Roman" w:hAnsi="Times New Roman"/>
          <w:sz w:val="20"/>
          <w:szCs w:val="20"/>
          <w:color w:val="auto"/>
        </w:rPr>
        <w:t>”) or the Committee terminates the Restricted Stock Unit Award (an “</w:t>
      </w:r>
      <w:r>
        <w:rPr>
          <w:rFonts w:ascii="Times New Roman" w:cs="Times New Roman" w:eastAsia="Times New Roman" w:hAnsi="Times New Roman"/>
          <w:sz w:val="20"/>
          <w:szCs w:val="20"/>
          <w:b w:val="1"/>
          <w:bCs w:val="1"/>
          <w:color w:val="auto"/>
        </w:rPr>
        <w:t>Award Termination</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ind w:left="680" w:hanging="276"/>
        <w:spacing w:after="0"/>
        <w:tabs>
          <w:tab w:leader="none" w:pos="6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Employment Termination is:</w:t>
      </w:r>
    </w:p>
    <w:p>
      <w:pPr>
        <w:spacing w:after="0" w:line="256" w:lineRule="exact"/>
        <w:rPr>
          <w:rFonts w:ascii="Times New Roman" w:cs="Times New Roman" w:eastAsia="Times New Roman" w:hAnsi="Times New Roman"/>
          <w:sz w:val="20"/>
          <w:szCs w:val="20"/>
          <w:color w:val="auto"/>
        </w:rPr>
      </w:pPr>
    </w:p>
    <w:p>
      <w:pPr>
        <w:ind w:left="1940" w:hanging="438"/>
        <w:spacing w:after="0"/>
        <w:tabs>
          <w:tab w:leader="none" w:pos="19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due to Employee’s:</w:t>
      </w:r>
    </w:p>
    <w:p>
      <w:pPr>
        <w:spacing w:after="0" w:line="256" w:lineRule="exact"/>
        <w:rPr>
          <w:rFonts w:ascii="Times New Roman" w:cs="Times New Roman" w:eastAsia="Times New Roman" w:hAnsi="Times New Roman"/>
          <w:sz w:val="20"/>
          <w:szCs w:val="20"/>
          <w:color w:val="auto"/>
        </w:rPr>
      </w:pPr>
    </w:p>
    <w:p>
      <w:pPr>
        <w:ind w:left="2120" w:hanging="420"/>
        <w:spacing w:after="0"/>
        <w:tabs>
          <w:tab w:leader="none" w:pos="2120"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w:t>
      </w:r>
    </w:p>
    <w:p>
      <w:pPr>
        <w:spacing w:after="0" w:line="21" w:lineRule="exact"/>
        <w:rPr>
          <w:rFonts w:ascii="Times New Roman" w:cs="Times New Roman" w:eastAsia="Times New Roman" w:hAnsi="Times New Roman"/>
          <w:sz w:val="20"/>
          <w:szCs w:val="20"/>
          <w:color w:val="auto"/>
        </w:rPr>
      </w:pPr>
    </w:p>
    <w:p>
      <w:pPr>
        <w:ind w:left="2120" w:hanging="420"/>
        <w:spacing w:after="0"/>
        <w:tabs>
          <w:tab w:leader="none" w:pos="2120"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death; or</w:t>
      </w:r>
    </w:p>
    <w:p>
      <w:pPr>
        <w:spacing w:after="0" w:line="6" w:lineRule="exact"/>
        <w:rPr>
          <w:rFonts w:ascii="Times New Roman" w:cs="Times New Roman" w:eastAsia="Times New Roman" w:hAnsi="Times New Roman"/>
          <w:sz w:val="20"/>
          <w:szCs w:val="20"/>
          <w:color w:val="auto"/>
        </w:rPr>
      </w:pPr>
    </w:p>
    <w:p>
      <w:pPr>
        <w:ind w:left="2120" w:hanging="420"/>
        <w:spacing w:after="0"/>
        <w:tabs>
          <w:tab w:leader="none" w:pos="2120"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Retirement; or</w:t>
      </w:r>
    </w:p>
    <w:p>
      <w:pPr>
        <w:spacing w:after="0" w:line="227" w:lineRule="exact"/>
        <w:rPr>
          <w:rFonts w:ascii="Times New Roman" w:cs="Times New Roman" w:eastAsia="Times New Roman" w:hAnsi="Times New Roman"/>
          <w:sz w:val="20"/>
          <w:szCs w:val="20"/>
          <w:color w:val="auto"/>
        </w:rPr>
      </w:pPr>
    </w:p>
    <w:p>
      <w:pPr>
        <w:ind w:left="1940" w:hanging="438"/>
        <w:spacing w:after="0"/>
        <w:tabs>
          <w:tab w:leader="none" w:pos="19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due to such other circumstances as the Committee in its discretion allows;</w:t>
      </w:r>
    </w:p>
    <w:p>
      <w:pPr>
        <w:spacing w:after="0" w:line="256"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9"/>
          <w:szCs w:val="19"/>
          <w:color w:val="auto"/>
        </w:rPr>
        <w:t>then the number of Restricted Stock Units which shall vest at the end of the Performance Period shall be calculated as set forth in subsection (c), subject to reduction by the Committee in its discretion. If there is an Award Termination, the Committee may in its discretion allow some or all of the Restricted Stock Units to vest, calculated as set forth in subsection (c), subject to reduction by the Committee in its discretion.</w:t>
      </w:r>
    </w:p>
    <w:p>
      <w:pPr>
        <w:spacing w:after="0" w:line="191" w:lineRule="exact"/>
        <w:rPr>
          <w:sz w:val="20"/>
          <w:szCs w:val="20"/>
          <w:color w:val="auto"/>
        </w:rPr>
      </w:pPr>
    </w:p>
    <w:p>
      <w:pPr>
        <w:ind w:firstLine="404"/>
        <w:spacing w:after="0" w:line="258" w:lineRule="auto"/>
        <w:tabs>
          <w:tab w:leader="none" w:pos="80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reasonably practicable following the end of the Performance Period, the Committee shall calculate, as set forth in Attachment 1, the number of Restricted Stock Units that would have vested based on the attainment of the performance criteria if Employee’s employment or Restricted Stock Units had not been terminated prior to the certification. The remainder of the Restricted Stock Units shall be automatically forfeited.</w:t>
      </w:r>
    </w:p>
    <w:p>
      <w:pPr>
        <w:spacing w:after="0" w:line="185" w:lineRule="exact"/>
        <w:rPr>
          <w:rFonts w:ascii="Times New Roman" w:cs="Times New Roman" w:eastAsia="Times New Roman" w:hAnsi="Times New Roman"/>
          <w:sz w:val="20"/>
          <w:szCs w:val="20"/>
          <w:color w:val="auto"/>
        </w:rPr>
      </w:pPr>
    </w:p>
    <w:p>
      <w:pPr>
        <w:ind w:right="280" w:firstLine="1304"/>
        <w:spacing w:after="0" w:line="226" w:lineRule="auto"/>
        <w:tabs>
          <w:tab w:leader="none" w:pos="1944" w:val="left"/>
        </w:tabs>
        <w:numPr>
          <w:ilvl w:val="1"/>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If, prior to the rTSR Measurement Period End Date (as defined in Attachment 1), a Change in Control occurs, to the extent the Restricted Stock Units are outstanding immediately prior to such Change in Control, they shall vest in accordance with Section 13(b)(ii) of the Plan.</w:t>
      </w:r>
    </w:p>
    <w:p>
      <w:pPr>
        <w:spacing w:after="0" w:line="160" w:lineRule="exact"/>
        <w:rPr>
          <w:rFonts w:ascii="Times New Roman" w:cs="Times New Roman" w:eastAsia="Times New Roman" w:hAnsi="Times New Roman"/>
          <w:sz w:val="20"/>
          <w:szCs w:val="20"/>
          <w:color w:val="010000"/>
        </w:rPr>
      </w:pPr>
    </w:p>
    <w:p>
      <w:pPr>
        <w:ind w:right="40" w:firstLine="1304"/>
        <w:spacing w:after="0" w:line="216" w:lineRule="auto"/>
        <w:tabs>
          <w:tab w:leader="none" w:pos="1944" w:val="left"/>
        </w:tabs>
        <w:numPr>
          <w:ilvl w:val="1"/>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Employment by Wolverine</w:t>
      </w:r>
      <w:r>
        <w:rPr>
          <w:rFonts w:ascii="Times New Roman" w:cs="Times New Roman" w:eastAsia="Times New Roman" w:hAnsi="Times New Roman"/>
          <w:sz w:val="20"/>
          <w:szCs w:val="20"/>
          <w:color w:val="auto"/>
        </w:rPr>
        <w:t>. The Agreement and the Restricted Stock Unit Award shall not impose upon Wolverine or any of its Subsidiaries any obligation to retain Employee in its employ for any given period or upon any specific terms of employment. Wolverine or any of its Subsidiaries may at any time dismiss Employee from employment, free from any liability or claim under the Plan or this Agreement, unless otherwise expressly provided in any written agreement with Employee. By accepting this Award, Employee reaffirms the obligations of any Employee Confidentiality, Intellectual Property Protection, and Restrictive Covenant Agreement or similar agreement, previously entered into between Wolverine and Employee.</w:t>
      </w:r>
    </w:p>
    <w:p>
      <w:pPr>
        <w:spacing w:after="0" w:line="162" w:lineRule="exact"/>
        <w:rPr>
          <w:rFonts w:ascii="Times New Roman" w:cs="Times New Roman" w:eastAsia="Times New Roman" w:hAnsi="Times New Roman"/>
          <w:sz w:val="20"/>
          <w:szCs w:val="20"/>
          <w:color w:val="010000"/>
        </w:rPr>
      </w:pPr>
    </w:p>
    <w:p>
      <w:pPr>
        <w:ind w:firstLine="1304"/>
        <w:spacing w:after="0" w:line="223" w:lineRule="auto"/>
        <w:tabs>
          <w:tab w:leader="none" w:pos="1944" w:val="left"/>
        </w:tabs>
        <w:numPr>
          <w:ilvl w:val="1"/>
          <w:numId w:val="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Stockholder Rights</w:t>
      </w:r>
      <w:r>
        <w:rPr>
          <w:rFonts w:ascii="Times New Roman" w:cs="Times New Roman" w:eastAsia="Times New Roman" w:hAnsi="Times New Roman"/>
          <w:sz w:val="19"/>
          <w:szCs w:val="19"/>
          <w:color w:val="auto"/>
        </w:rPr>
        <w:t>. Employee (or Employee’s permitted transferees) shall not have any voting and liquidation rights with respect to the Restricted Stock Units or the underlying Common Stock represented thereby unless and until shares of Common Stock are actually issued to Employee upon vesting of the Restricted Stock Units in accordance with the terms of this Agreement. Employee shall be entitled to receive a dividend equivalent (“</w:t>
      </w:r>
      <w:r>
        <w:rPr>
          <w:rFonts w:ascii="Times New Roman" w:cs="Times New Roman" w:eastAsia="Times New Roman" w:hAnsi="Times New Roman"/>
          <w:sz w:val="19"/>
          <w:szCs w:val="19"/>
          <w:b w:val="1"/>
          <w:bCs w:val="1"/>
          <w:color w:val="auto"/>
        </w:rPr>
        <w:t>Dividend Equivalent</w:t>
      </w:r>
      <w:r>
        <w:rPr>
          <w:rFonts w:ascii="Times New Roman" w:cs="Times New Roman" w:eastAsia="Times New Roman" w:hAnsi="Times New Roman"/>
          <w:sz w:val="19"/>
          <w:szCs w:val="19"/>
          <w:color w:val="auto"/>
        </w:rPr>
        <w:t>”) in the form of cash, with respect to any cash dividend that is declared and paid on the Common Stock underlying the Restricted Stock Units prior to the Payout Date, with the amount that is paid to Employee in respect of the Dividend Equivalents equal to the aggregate cash dividends declared and paid per share of Common Stock during the period beginning on the Grant Date and ending immediately prior to the Payout Date multiplied by the number of Restricted Stock Units that vest hereunder in accordance with Appendix 1. For greater certainty, no Dividend Equivalent shall be payable to Employee in respect of any unvested Restricted Stock Units that are forfeited. Upon vesting of the Restricted Stock Units and issuance to Employee of underlying Common Stock, if applicable, Employee shall have all stockholder rights, including the right to transfer the underlying Common Stock, subject to such conditions as Wolverine may reasonably specify to ensure compliance with applicable federal and state securities laws.</w:t>
      </w:r>
    </w:p>
    <w:p>
      <w:pPr>
        <w:sectPr>
          <w:pgSz w:w="11900" w:h="16838" w:orient="portrait"/>
          <w:cols w:equalWidth="0" w:num="1">
            <w:col w:w="11220"/>
          </w:cols>
          <w:pgMar w:left="320" w:top="1139" w:right="359" w:bottom="1440" w:gutter="0" w:footer="0" w:header="0"/>
        </w:sectPr>
      </w:pPr>
    </w:p>
    <w:bookmarkStart w:id="31" w:name="page32"/>
    <w:bookmarkEnd w:id="31"/>
    <w:p>
      <w:pPr>
        <w:ind w:left="-1120" w:firstLine="1304"/>
        <w:spacing w:after="0" w:line="213" w:lineRule="auto"/>
        <w:tabs>
          <w:tab w:leader="none" w:pos="824" w:val="left"/>
        </w:tabs>
        <w:numPr>
          <w:ilvl w:val="0"/>
          <w:numId w:val="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Wolverine and any of its Subsidiaries shall be entitled to (a) withhold and deduct from Employee’s future wages (or from other amounts that may be due and owing to Employee from Wolverine or a Subsidiary, including amounts under this Agreement), or make other arrangements for the collection of, all legally required amounts necessary to satisfy any and all applicable federal, state and local withholding and employment-related tax requirements attributable to the Restricted Stock Units Award under this Agreement, including, without limitation, the award, vesting or settlement of Restricted Stock Units and any Dividend Equivalents; or (b) require Employee promptly to remit the amount of such withholding to Wolverine or a Subsidiary before taking any action with respect to the Restricted Stock Units. Unless the Committee provides otherwise, withholding may be satisfied by withholding shares of Common Stock to be received by Employee pursuant to this Agreement or by delivery to Wolverine or a Subsidiary of previously owned Common Stock of Wolverine.</w:t>
      </w:r>
    </w:p>
    <w:p>
      <w:pPr>
        <w:spacing w:after="0" w:line="161" w:lineRule="exact"/>
        <w:rPr>
          <w:rFonts w:ascii="Times New Roman" w:cs="Times New Roman" w:eastAsia="Times New Roman" w:hAnsi="Times New Roman"/>
          <w:sz w:val="20"/>
          <w:szCs w:val="20"/>
          <w:color w:val="010000"/>
        </w:rPr>
      </w:pPr>
    </w:p>
    <w:p>
      <w:pPr>
        <w:ind w:left="840" w:hanging="656"/>
        <w:spacing w:after="0"/>
        <w:tabs>
          <w:tab w:leader="none" w:pos="840" w:val="left"/>
        </w:tabs>
        <w:numPr>
          <w:ilvl w:val="0"/>
          <w:numId w:val="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grant of Restricted Stock Units shall be effective as of the Grant Date set forth in the grant.</w:t>
      </w:r>
    </w:p>
    <w:p>
      <w:pPr>
        <w:spacing w:after="0" w:line="175" w:lineRule="exact"/>
        <w:rPr>
          <w:rFonts w:ascii="Times New Roman" w:cs="Times New Roman" w:eastAsia="Times New Roman" w:hAnsi="Times New Roman"/>
          <w:sz w:val="20"/>
          <w:szCs w:val="20"/>
          <w:color w:val="010000"/>
        </w:rPr>
      </w:pPr>
    </w:p>
    <w:p>
      <w:pPr>
        <w:ind w:left="-1120" w:right="100" w:firstLine="1304"/>
        <w:spacing w:after="0" w:line="230" w:lineRule="auto"/>
        <w:tabs>
          <w:tab w:leader="none" w:pos="815" w:val="left"/>
        </w:tabs>
        <w:numPr>
          <w:ilvl w:val="0"/>
          <w:numId w:val="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Agreement Controls</w:t>
      </w:r>
      <w:r>
        <w:rPr>
          <w:rFonts w:ascii="Times New Roman" w:cs="Times New Roman" w:eastAsia="Times New Roman" w:hAnsi="Times New Roman"/>
          <w:sz w:val="20"/>
          <w:szCs w:val="20"/>
          <w:color w:val="auto"/>
        </w:rPr>
        <w:t>. The Plan is hereby incorporated in this Agreement by reference. Capitalized terms not defined in this Agreement shall have those meanings provided in the Plan. In the event of any conflict between the terms of this Agreement and the terms of the Plan, the provisions of the Agreement shall control.</w:t>
      </w:r>
    </w:p>
    <w:p>
      <w:pPr>
        <w:sectPr>
          <w:pgSz w:w="11900" w:h="16838" w:orient="portrait"/>
          <w:cols w:equalWidth="0" w:num="1">
            <w:col w:w="10100"/>
          </w:cols>
          <w:pgMar w:left="1440" w:top="1129" w:right="35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WOLVERINE WORLD WIDE,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COMPENSATION AND HUMAN CAPITAL COMMITTEE</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ATTACHMENT 1 TO RESTRICTED STOCK UNITS AWARD AGREEMENT</w:t>
      </w:r>
    </w:p>
    <w:p>
      <w:pPr>
        <w:spacing w:after="0" w:line="23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number of Restricted Stock Units that will vest is equal to the number resulting from the formula setforth immediately below, subject to any exercise of negative discretion of the Committee.</w:t>
      </w:r>
    </w:p>
    <w:p>
      <w:pPr>
        <w:spacing w:after="0" w:line="200" w:lineRule="exact"/>
        <w:rPr>
          <w:sz w:val="20"/>
          <w:szCs w:val="20"/>
          <w:color w:val="auto"/>
        </w:rPr>
      </w:pPr>
    </w:p>
    <w:p>
      <w:pPr>
        <w:ind w:right="340" w:firstLine="8"/>
        <w:spacing w:after="0" w:line="269"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number of Restricted Stock Units that will vest under this Attachment 1 and this Agreement, as determined by the Committee, is equal to:</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(Target Value/Market Price) x Overall Award Percentage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rounded up to the nearest whole number (but not in excess of the where:</w:t>
      </w:r>
    </w:p>
    <w:p>
      <w:pPr>
        <w:spacing w:after="0" w:line="274" w:lineRule="exact"/>
        <w:rPr>
          <w:sz w:val="20"/>
          <w:szCs w:val="20"/>
          <w:color w:val="auto"/>
        </w:rPr>
      </w:pPr>
    </w:p>
    <w:p>
      <w:pPr>
        <w:ind w:left="660" w:right="680"/>
        <w:spacing w:after="0" w:line="282" w:lineRule="auto"/>
        <w:rPr>
          <w:sz w:val="20"/>
          <w:szCs w:val="20"/>
          <w:color w:val="auto"/>
        </w:rPr>
      </w:pPr>
      <w:r>
        <w:rPr>
          <w:rFonts w:ascii="Times New Roman" w:cs="Times New Roman" w:eastAsia="Times New Roman" w:hAnsi="Times New Roman"/>
          <w:sz w:val="18"/>
          <w:szCs w:val="18"/>
          <w:color w:val="auto"/>
        </w:rPr>
        <w:t>Overall Award Percentage will be the sum of (i) the OP Average Award Percentage multiplied by the OP Factor, and (ii) the rTSR Award Percentage multiplied by the rTSR Factor.</w:t>
      </w:r>
    </w:p>
    <w:p>
      <w:pPr>
        <w:spacing w:after="0" w:line="189"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OP Average Award Percentage will be equal to (x) the sum of the OP Award Percentage for each Fiscal Year during the OP Measurement Period divided by (y) three.</w:t>
      </w:r>
    </w:p>
    <w:p>
      <w:pPr>
        <w:spacing w:after="0" w:line="189" w:lineRule="exact"/>
        <w:rPr>
          <w:sz w:val="20"/>
          <w:szCs w:val="20"/>
          <w:color w:val="auto"/>
        </w:rPr>
      </w:pPr>
    </w:p>
    <w:p>
      <w:pPr>
        <w:ind w:left="660" w:right="420"/>
        <w:spacing w:after="0" w:line="282" w:lineRule="auto"/>
        <w:rPr>
          <w:sz w:val="20"/>
          <w:szCs w:val="20"/>
          <w:color w:val="auto"/>
        </w:rPr>
      </w:pPr>
      <w:r>
        <w:rPr>
          <w:rFonts w:ascii="Times New Roman" w:cs="Times New Roman" w:eastAsia="Times New Roman" w:hAnsi="Times New Roman"/>
          <w:sz w:val="18"/>
          <w:szCs w:val="18"/>
          <w:color w:val="auto"/>
        </w:rPr>
        <w:t>rTSR Award Percentage will be based upon the Company’s Total Shareholder Return ranking as of the end of the rTSR Measurement Period relative to the Total Shareholder Return of the S&amp;P Composite 1500 Companies.</w:t>
      </w:r>
    </w:p>
    <w:p>
      <w:pPr>
        <w:spacing w:after="0" w:line="189" w:lineRule="exact"/>
        <w:rPr>
          <w:sz w:val="20"/>
          <w:szCs w:val="20"/>
          <w:color w:val="auto"/>
        </w:rPr>
      </w:pPr>
    </w:p>
    <w:p>
      <w:pPr>
        <w:ind w:left="840" w:right="2840" w:hanging="652"/>
        <w:spacing w:after="0" w:line="532" w:lineRule="auto"/>
        <w:tabs>
          <w:tab w:leader="none" w:pos="5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 Award Percentage for each Fiscal Year during the OP Measurement Period will be calculated as follows: If the OP for the applicable Fiscal Year is &lt; Threshold OP, OP Award Percentage = 0%</w:t>
      </w: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 for the applicable Fiscal Year is ≥ Threshold OP and &lt; Target OP, OP Award Percentage =</w:t>
      </w:r>
    </w:p>
    <w:p>
      <w:pPr>
        <w:spacing w:after="0" w:line="3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u w:val="single" w:color="auto"/>
          <w:color w:val="auto"/>
        </w:rPr>
        <w:t>(OP – Threshold OP)</w:t>
      </w:r>
    </w:p>
    <w:p>
      <w:pPr>
        <w:ind w:left="660"/>
        <w:spacing w:after="0" w:line="181" w:lineRule="auto"/>
        <w:rPr>
          <w:sz w:val="20"/>
          <w:szCs w:val="20"/>
          <w:color w:val="auto"/>
        </w:rPr>
      </w:pPr>
      <w:r>
        <w:rPr>
          <w:rFonts w:ascii="Times New Roman" w:cs="Times New Roman" w:eastAsia="Times New Roman" w:hAnsi="Times New Roman"/>
          <w:sz w:val="70"/>
          <w:szCs w:val="70"/>
          <w:color w:val="auto"/>
        </w:rPr>
        <w:t>([</w:t>
      </w:r>
      <w:r>
        <w:rPr>
          <w:rFonts w:ascii="Times New Roman" w:cs="Times New Roman" w:eastAsia="Times New Roman" w:hAnsi="Times New Roman"/>
          <w:sz w:val="61"/>
          <w:szCs w:val="61"/>
          <w:color w:val="auto"/>
        </w:rPr>
        <w:t>[</w:t>
      </w:r>
      <w:r>
        <w:rPr>
          <w:rFonts w:ascii="Times New Roman" w:cs="Times New Roman" w:eastAsia="Times New Roman" w:hAnsi="Times New Roman"/>
          <w:sz w:val="70"/>
          <w:szCs w:val="70"/>
          <w:color w:val="auto"/>
        </w:rPr>
        <w:t xml:space="preserve"> </w:t>
      </w:r>
      <w:r>
        <w:rPr>
          <w:rFonts w:ascii="Times New Roman" w:cs="Times New Roman" w:eastAsia="Times New Roman" w:hAnsi="Times New Roman"/>
          <w:sz w:val="16"/>
          <w:szCs w:val="16"/>
          <w:color w:val="auto"/>
        </w:rPr>
        <w:t>(Target OP – Threshold OP)</w:t>
      </w:r>
      <w:r>
        <w:rPr>
          <w:rFonts w:ascii="Times New Roman" w:cs="Times New Roman" w:eastAsia="Times New Roman" w:hAnsi="Times New Roman"/>
          <w:sz w:val="70"/>
          <w:szCs w:val="70"/>
          <w:color w:val="auto"/>
        </w:rPr>
        <w:t xml:space="preserve">   </w:t>
      </w:r>
      <w:r>
        <w:rPr>
          <w:rFonts w:ascii="Times New Roman" w:cs="Times New Roman" w:eastAsia="Times New Roman" w:hAnsi="Times New Roman"/>
          <w:sz w:val="61"/>
          <w:szCs w:val="61"/>
          <w:color w:val="auto"/>
        </w:rPr>
        <w:t>]</w:t>
      </w:r>
      <w:r>
        <w:rPr>
          <w:rFonts w:ascii="Times New Roman" w:cs="Times New Roman" w:eastAsia="Times New Roman" w:hAnsi="Times New Roman"/>
          <w:sz w:val="70"/>
          <w:szCs w:val="70"/>
          <w:color w:val="auto"/>
        </w:rPr>
        <w:t xml:space="preserve"> ] )</w:t>
      </w:r>
    </w:p>
    <w:p>
      <w:pPr>
        <w:spacing w:after="0" w:line="2" w:lineRule="exact"/>
        <w:rPr>
          <w:sz w:val="20"/>
          <w:szCs w:val="20"/>
          <w:color w:val="auto"/>
        </w:rPr>
      </w:pPr>
    </w:p>
    <w:p>
      <w:pPr>
        <w:ind w:left="4380"/>
        <w:spacing w:after="0"/>
        <w:tabs>
          <w:tab w:leader="none" w:pos="5080" w:val="left"/>
          <w:tab w:leader="none" w:pos="5840" w:val="left"/>
        </w:tabs>
        <w:rPr>
          <w:sz w:val="20"/>
          <w:szCs w:val="20"/>
          <w:color w:val="auto"/>
        </w:rPr>
      </w:pPr>
      <w:r>
        <w:rPr>
          <w:rFonts w:ascii="Times New Roman" w:cs="Times New Roman" w:eastAsia="Times New Roman" w:hAnsi="Times New Roman"/>
          <w:sz w:val="18"/>
          <w:szCs w:val="18"/>
          <w:color w:val="auto"/>
        </w:rPr>
        <w:t>x 0.5</w:t>
      </w:r>
      <w:r>
        <w:rPr>
          <w:sz w:val="20"/>
          <w:szCs w:val="20"/>
          <w:color w:val="auto"/>
        </w:rPr>
        <w:tab/>
      </w:r>
      <w:r>
        <w:rPr>
          <w:rFonts w:ascii="Times New Roman" w:cs="Times New Roman" w:eastAsia="Times New Roman" w:hAnsi="Times New Roman"/>
          <w:sz w:val="18"/>
          <w:szCs w:val="18"/>
          <w:color w:val="auto"/>
        </w:rPr>
        <w:t>+ 0.5</w:t>
      </w:r>
      <w:r>
        <w:rPr>
          <w:sz w:val="20"/>
          <w:szCs w:val="20"/>
          <w:color w:val="auto"/>
        </w:rPr>
        <w:tab/>
      </w:r>
      <w:r>
        <w:rPr>
          <w:rFonts w:ascii="Times New Roman" w:cs="Times New Roman" w:eastAsia="Times New Roman" w:hAnsi="Times New Roman"/>
          <w:sz w:val="18"/>
          <w:szCs w:val="18"/>
          <w:color w:val="auto"/>
        </w:rPr>
        <w:t>x100</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If the OP for the applicable Fiscal Year is ≥ Target OP and &lt; Stretch OP, OP Award Percentage =</w:t>
      </w:r>
    </w:p>
    <w:p>
      <w:pPr>
        <w:spacing w:after="0" w:line="32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u w:val="single" w:color="auto"/>
          <w:color w:val="auto"/>
        </w:rPr>
        <w:t>(OP – Target OP)</w:t>
      </w:r>
    </w:p>
    <w:p>
      <w:pPr>
        <w:ind w:left="660"/>
        <w:spacing w:after="0" w:line="181" w:lineRule="auto"/>
        <w:rPr>
          <w:sz w:val="20"/>
          <w:szCs w:val="20"/>
          <w:color w:val="auto"/>
        </w:rPr>
      </w:pPr>
      <w:r>
        <w:rPr>
          <w:rFonts w:ascii="Times New Roman" w:cs="Times New Roman" w:eastAsia="Times New Roman" w:hAnsi="Times New Roman"/>
          <w:sz w:val="70"/>
          <w:szCs w:val="70"/>
          <w:color w:val="auto"/>
        </w:rPr>
        <w:t>([</w:t>
      </w:r>
      <w:r>
        <w:rPr>
          <w:rFonts w:ascii="Times New Roman" w:cs="Times New Roman" w:eastAsia="Times New Roman" w:hAnsi="Times New Roman"/>
          <w:sz w:val="61"/>
          <w:szCs w:val="61"/>
          <w:color w:val="auto"/>
        </w:rPr>
        <w:t>[</w:t>
      </w:r>
      <w:r>
        <w:rPr>
          <w:rFonts w:ascii="Times New Roman" w:cs="Times New Roman" w:eastAsia="Times New Roman" w:hAnsi="Times New Roman"/>
          <w:sz w:val="70"/>
          <w:szCs w:val="70"/>
          <w:color w:val="auto"/>
        </w:rPr>
        <w:t xml:space="preserve"> </w:t>
      </w:r>
      <w:r>
        <w:rPr>
          <w:rFonts w:ascii="Times New Roman" w:cs="Times New Roman" w:eastAsia="Times New Roman" w:hAnsi="Times New Roman"/>
          <w:sz w:val="16"/>
          <w:szCs w:val="16"/>
          <w:color w:val="auto"/>
        </w:rPr>
        <w:t>(Stretch OP – Target OP)</w:t>
      </w:r>
      <w:r>
        <w:rPr>
          <w:rFonts w:ascii="Times New Roman" w:cs="Times New Roman" w:eastAsia="Times New Roman" w:hAnsi="Times New Roman"/>
          <w:sz w:val="70"/>
          <w:szCs w:val="70"/>
          <w:color w:val="auto"/>
        </w:rPr>
        <w:t xml:space="preserve">    </w:t>
      </w:r>
      <w:r>
        <w:rPr>
          <w:rFonts w:ascii="Times New Roman" w:cs="Times New Roman" w:eastAsia="Times New Roman" w:hAnsi="Times New Roman"/>
          <w:sz w:val="61"/>
          <w:szCs w:val="61"/>
          <w:color w:val="auto"/>
        </w:rPr>
        <w:t>]</w:t>
      </w:r>
      <w:r>
        <w:rPr>
          <w:rFonts w:ascii="Times New Roman" w:cs="Times New Roman" w:eastAsia="Times New Roman" w:hAnsi="Times New Roman"/>
          <w:sz w:val="70"/>
          <w:szCs w:val="70"/>
          <w:color w:val="auto"/>
        </w:rPr>
        <w:t xml:space="preserve"> ] )</w:t>
      </w:r>
    </w:p>
    <w:p>
      <w:pPr>
        <w:spacing w:after="0" w:line="2" w:lineRule="exact"/>
        <w:rPr>
          <w:sz w:val="20"/>
          <w:szCs w:val="20"/>
          <w:color w:val="auto"/>
        </w:rPr>
      </w:pPr>
    </w:p>
    <w:p>
      <w:pPr>
        <w:ind w:left="4380"/>
        <w:spacing w:after="0"/>
        <w:tabs>
          <w:tab w:leader="none" w:pos="5080" w:val="left"/>
          <w:tab w:leader="none" w:pos="5840" w:val="left"/>
        </w:tabs>
        <w:rPr>
          <w:sz w:val="20"/>
          <w:szCs w:val="20"/>
          <w:color w:val="auto"/>
        </w:rPr>
      </w:pPr>
      <w:r>
        <w:rPr>
          <w:rFonts w:ascii="Times New Roman" w:cs="Times New Roman" w:eastAsia="Times New Roman" w:hAnsi="Times New Roman"/>
          <w:sz w:val="18"/>
          <w:szCs w:val="18"/>
          <w:color w:val="auto"/>
        </w:rPr>
        <w:t>x 0.5</w:t>
      </w:r>
      <w:r>
        <w:rPr>
          <w:sz w:val="20"/>
          <w:szCs w:val="20"/>
          <w:color w:val="auto"/>
        </w:rPr>
        <w:tab/>
      </w:r>
      <w:r>
        <w:rPr>
          <w:rFonts w:ascii="Times New Roman" w:cs="Times New Roman" w:eastAsia="Times New Roman" w:hAnsi="Times New Roman"/>
          <w:sz w:val="18"/>
          <w:szCs w:val="18"/>
          <w:color w:val="auto"/>
        </w:rPr>
        <w:t>+ 1.0</w:t>
      </w:r>
      <w:r>
        <w:rPr>
          <w:sz w:val="20"/>
          <w:szCs w:val="20"/>
          <w:color w:val="auto"/>
        </w:rPr>
        <w:tab/>
      </w:r>
      <w:r>
        <w:rPr>
          <w:rFonts w:ascii="Times New Roman" w:cs="Times New Roman" w:eastAsia="Times New Roman" w:hAnsi="Times New Roman"/>
          <w:sz w:val="18"/>
          <w:szCs w:val="18"/>
          <w:color w:val="auto"/>
        </w:rPr>
        <w:t>x100</w:t>
      </w:r>
    </w:p>
    <w:p>
      <w:pPr>
        <w:spacing w:after="0" w:line="200" w:lineRule="exact"/>
        <w:rPr>
          <w:sz w:val="20"/>
          <w:szCs w:val="20"/>
          <w:color w:val="auto"/>
        </w:rPr>
      </w:pPr>
    </w:p>
    <w:p>
      <w:pPr>
        <w:spacing w:after="0" w:line="3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the OP for the applicable Fiscal Year is ≥ Stretch OP, OP Award Percentage = Award Cap</w:t>
      </w:r>
    </w:p>
    <w:p>
      <w:pPr>
        <w:spacing w:after="0" w:line="252" w:lineRule="exact"/>
        <w:rPr>
          <w:sz w:val="20"/>
          <w:szCs w:val="20"/>
          <w:color w:val="auto"/>
        </w:rPr>
      </w:pPr>
    </w:p>
    <w:p>
      <w:pPr>
        <w:ind w:firstLine="656"/>
        <w:spacing w:after="0" w:line="266" w:lineRule="auto"/>
        <w:tabs>
          <w:tab w:leader="none" w:pos="10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rTSR Award Percentage for the rTSR Measurement Period shall be the Company’s Total Shareholder Return ranking as of the end of the rTSR Measurement Period relative to the Total Shareholder Return rankings as of the end of the rTSR Measurement Period of the S&amp;P Composite 1500 Companies as forth in the following table:</w:t>
      </w:r>
    </w:p>
    <w:p>
      <w:pPr>
        <w:sectPr>
          <w:pgSz w:w="11900" w:h="16838" w:orient="portrait"/>
          <w:cols w:equalWidth="0" w:num="1">
            <w:col w:w="11200"/>
          </w:cols>
          <w:pgMar w:left="320" w:top="122" w:right="379" w:bottom="1440" w:gutter="0" w:footer="0" w:header="0"/>
        </w:sectPr>
      </w:pPr>
    </w:p>
    <w:bookmarkStart w:id="33" w:name="page34"/>
    <w:bookmarkEnd w:id="33"/>
    <w:tbl>
      <w:tblPr>
        <w:tblLayout w:type="fixed"/>
        <w:tblInd w:w="890" w:type="dxa"/>
        <w:tblCellMar>
          <w:top w:w="0" w:type="dxa"/>
          <w:left w:w="0" w:type="dxa"/>
          <w:bottom w:w="0" w:type="dxa"/>
          <w:right w:w="0" w:type="dxa"/>
        </w:tblCellMar>
      </w:tblPr>
      <w:tr>
        <w:trPr>
          <w:trHeight w:val="420"/>
        </w:trPr>
        <w:tc>
          <w:tcPr>
            <w:tcW w:w="20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Performance Level</w:t>
            </w:r>
          </w:p>
        </w:tc>
        <w:tc>
          <w:tcPr>
            <w:tcW w:w="17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rTSR Rank</w:t>
            </w:r>
            <w:r>
              <w:rPr>
                <w:rFonts w:ascii="Times New Roman" w:cs="Times New Roman" w:eastAsia="Times New Roman" w:hAnsi="Times New Roman"/>
                <w:sz w:val="23"/>
                <w:szCs w:val="23"/>
                <w:b w:val="1"/>
                <w:bCs w:val="1"/>
                <w:color w:val="auto"/>
                <w:vertAlign w:val="superscript"/>
              </w:rPr>
              <w:t>(1)</w:t>
            </w:r>
          </w:p>
        </w:tc>
        <w:tc>
          <w:tcPr>
            <w:tcW w:w="12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Payout</w:t>
            </w:r>
            <w:r>
              <w:rPr>
                <w:rFonts w:ascii="Times New Roman" w:cs="Times New Roman" w:eastAsia="Times New Roman" w:hAnsi="Times New Roman"/>
                <w:sz w:val="23"/>
                <w:szCs w:val="23"/>
                <w:b w:val="1"/>
                <w:bCs w:val="1"/>
                <w:color w:val="auto"/>
                <w:vertAlign w:val="superscript"/>
              </w:rPr>
              <w:t>(2) (3)</w:t>
            </w:r>
          </w:p>
        </w:tc>
      </w:tr>
      <w:tr>
        <w:trPr>
          <w:trHeight w:val="66"/>
        </w:trPr>
        <w:tc>
          <w:tcPr>
            <w:tcW w:w="2000" w:type="dxa"/>
            <w:vAlign w:val="bottom"/>
            <w:tcBorders>
              <w:left w:val="single" w:sz="8" w:color="auto"/>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400"/>
        </w:trPr>
        <w:tc>
          <w:tcPr>
            <w:tcW w:w="2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Below Threshold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r>
      <w:tr>
        <w:trPr>
          <w:trHeight w:val="66"/>
        </w:trPr>
        <w:tc>
          <w:tcPr>
            <w:tcW w:w="2000" w:type="dxa"/>
            <w:vAlign w:val="bottom"/>
            <w:tcBorders>
              <w:left w:val="single" w:sz="8" w:color="auto"/>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400"/>
        </w:trPr>
        <w:tc>
          <w:tcPr>
            <w:tcW w:w="2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Threshold</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w:t>
            </w:r>
          </w:p>
        </w:tc>
      </w:tr>
      <w:tr>
        <w:trPr>
          <w:trHeight w:val="66"/>
        </w:trPr>
        <w:tc>
          <w:tcPr>
            <w:tcW w:w="2000" w:type="dxa"/>
            <w:vAlign w:val="bottom"/>
            <w:tcBorders>
              <w:left w:val="single" w:sz="8" w:color="auto"/>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400"/>
        </w:trPr>
        <w:tc>
          <w:tcPr>
            <w:tcW w:w="2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Target</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w:t>
            </w:r>
          </w:p>
        </w:tc>
      </w:tr>
      <w:tr>
        <w:trPr>
          <w:trHeight w:val="66"/>
        </w:trPr>
        <w:tc>
          <w:tcPr>
            <w:tcW w:w="2000" w:type="dxa"/>
            <w:vAlign w:val="bottom"/>
            <w:tcBorders>
              <w:left w:val="single" w:sz="8" w:color="auto"/>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400"/>
        </w:trPr>
        <w:tc>
          <w:tcPr>
            <w:tcW w:w="2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Stretch</w:t>
            </w:r>
          </w:p>
        </w:tc>
        <w:tc>
          <w:tcPr>
            <w:tcW w:w="1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200%</w:t>
            </w:r>
          </w:p>
        </w:tc>
      </w:tr>
      <w:tr>
        <w:trPr>
          <w:trHeight w:val="66"/>
        </w:trPr>
        <w:tc>
          <w:tcPr>
            <w:tcW w:w="2000" w:type="dxa"/>
            <w:vAlign w:val="bottom"/>
            <w:tcBorders>
              <w:left w:val="single" w:sz="8" w:color="auto"/>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bl>
    <w:p>
      <w:pPr>
        <w:spacing w:after="0" w:line="319" w:lineRule="exact"/>
        <w:rPr>
          <w:sz w:val="20"/>
          <w:szCs w:val="20"/>
          <w:color w:val="auto"/>
        </w:rPr>
      </w:pPr>
    </w:p>
    <w:p>
      <w:pPr>
        <w:ind w:left="180" w:right="560" w:firstLine="4"/>
        <w:spacing w:after="0" w:line="282" w:lineRule="auto"/>
        <w:tabs>
          <w:tab w:leader="none" w:pos="5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rTSR Rank is calculated based on the Company’s ranking within the S&amp;P Composite 1500 Companies based on its Total Shareholder Return as compared to the Total Shareholder Return of each S&amp;P Composite 1500 Company.</w:t>
      </w:r>
    </w:p>
    <w:p>
      <w:pPr>
        <w:spacing w:after="0" w:line="188" w:lineRule="exact"/>
        <w:rPr>
          <w:rFonts w:ascii="Times New Roman" w:cs="Times New Roman" w:eastAsia="Times New Roman" w:hAnsi="Times New Roman"/>
          <w:sz w:val="18"/>
          <w:szCs w:val="18"/>
          <w:color w:val="auto"/>
        </w:rPr>
      </w:pPr>
    </w:p>
    <w:p>
      <w:pPr>
        <w:ind w:left="180" w:firstLine="4"/>
        <w:spacing w:after="0" w:line="282" w:lineRule="auto"/>
        <w:tabs>
          <w:tab w:leader="none" w:pos="5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performance between threshold and target and between target and stretch, the rTSR Award Percentage will be determined on straight line interpolation.</w:t>
      </w:r>
    </w:p>
    <w:p>
      <w:pPr>
        <w:spacing w:after="0" w:line="188" w:lineRule="exact"/>
        <w:rPr>
          <w:rFonts w:ascii="Times New Roman" w:cs="Times New Roman" w:eastAsia="Times New Roman" w:hAnsi="Times New Roman"/>
          <w:sz w:val="18"/>
          <w:szCs w:val="18"/>
          <w:color w:val="auto"/>
        </w:rPr>
      </w:pPr>
    </w:p>
    <w:p>
      <w:pPr>
        <w:ind w:left="180" w:right="140" w:firstLine="4"/>
        <w:spacing w:after="0" w:line="282" w:lineRule="auto"/>
        <w:tabs>
          <w:tab w:leader="none" w:pos="5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Total Shareholder Return for the rTSR Measurement Period is negative, the rTSR Award Percentage shall be capped at 100%.</w:t>
      </w:r>
    </w:p>
    <w:p>
      <w:pPr>
        <w:sectPr>
          <w:pgSz w:w="11900" w:h="16838" w:orient="portrait"/>
          <w:cols w:equalWidth="0" w:num="1">
            <w:col w:w="9840"/>
          </w:cols>
          <w:pgMar w:left="1440" w:top="1118" w:right="6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9"/>
          <w:szCs w:val="19"/>
          <w:color w:val="auto"/>
        </w:rPr>
        <w:t>The other defined terms shall have the following meanings for the purpose of this Agreement:</w:t>
      </w:r>
    </w:p>
    <w:p>
      <w:pPr>
        <w:sectPr>
          <w:pgSz w:w="11900" w:h="16838" w:orient="portrait"/>
          <w:cols w:equalWidth="0" w:num="1">
            <w:col w:w="10139"/>
          </w:cols>
          <w:pgMar w:left="320" w:top="1089" w:right="1440"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270"/>
        </w:trPr>
        <w:tc>
          <w:tcPr>
            <w:tcW w:w="34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Award Cap</w:t>
            </w:r>
          </w:p>
        </w:tc>
        <w:tc>
          <w:tcPr>
            <w:tcW w:w="7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Award Recipient</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 employee of the Company to whom the Compensation and Human Capital Committee of the Board</w:t>
            </w:r>
          </w:p>
        </w:tc>
      </w:tr>
      <w:tr>
        <w:trPr>
          <w:trHeight w:val="238"/>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Directors or the Board of Directors grants a Performance Restricted Unit Award, for such portion of</w:t>
            </w: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Performance Period as the Committee determines.</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Operating Profit</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earnings from the Company’s core business function for the Fiscal Year after deducting selling,</w:t>
            </w:r>
          </w:p>
        </w:tc>
      </w:tr>
      <w:tr>
        <w:trPr>
          <w:trHeight w:val="238"/>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 costs. Operating Profit shall not include interest, taxes and other items</w:t>
            </w: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reported in the Consolidated Statement of Operations below Operating Profit.</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Fiscal Year</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The fiscal year of the Company for financial reporting purposes as the Company may adopt from time to</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time.</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Market Price</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Fair Market Value on the Grant Date.</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OP Measurement Period</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three-year period beginning on the first day of the Company’s 2026 Fiscal Year and ending on the</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last day of the Company’s 2028 Fiscal Year.</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Payout Date</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date determined by the Committee upon the vesting of Restricted Stock Units for the issuance and</w:t>
            </w:r>
          </w:p>
        </w:tc>
      </w:tr>
      <w:tr>
        <w:trPr>
          <w:trHeight w:val="238"/>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delivery of Common Stock and, if applicable, any cash payment, to which such Payout Date relates,</w:t>
            </w: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which date shall be as soon as practicable, but in no event more than sixty (60) days following the date</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vesting (or, if earlier, within 30 days following the date of a Change in Control, to the extent provided</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Section 5 of this Agreement and the Plan).</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Performance Period</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OP Measurement Period plus the rTSR Measurement Period.</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91"/>
        </w:trPr>
        <w:tc>
          <w:tcPr>
            <w:tcW w:w="3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rTSR Measurement Period</w:t>
            </w: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three-year period beginning on February 11, 2026.</w:t>
            </w:r>
          </w:p>
        </w:tc>
      </w:tr>
      <w:tr>
        <w:trPr>
          <w:trHeight w:val="81"/>
        </w:trPr>
        <w:tc>
          <w:tcPr>
            <w:tcW w:w="3440" w:type="dxa"/>
            <w:vAlign w:val="bottom"/>
            <w:tcBorders>
              <w:left w:val="single" w:sz="8" w:color="auto"/>
              <w:bottom w:val="single" w:sz="8" w:color="auto"/>
              <w:right w:val="single" w:sz="8" w:color="auto"/>
            </w:tcBorders>
          </w:tcPr>
          <w:p>
            <w:pPr>
              <w:spacing w:after="0"/>
              <w:rPr>
                <w:sz w:val="7"/>
                <w:szCs w:val="7"/>
                <w:color w:val="auto"/>
              </w:rPr>
            </w:pPr>
          </w:p>
        </w:tc>
        <w:tc>
          <w:tcPr>
            <w:tcW w:w="7700" w:type="dxa"/>
            <w:vAlign w:val="bottom"/>
            <w:tcBorders>
              <w:bottom w:val="single" w:sz="8" w:color="auto"/>
              <w:right w:val="single" w:sz="8" w:color="auto"/>
            </w:tcBorders>
          </w:tcPr>
          <w:p>
            <w:pPr>
              <w:spacing w:after="0"/>
              <w:rPr>
                <w:sz w:val="7"/>
                <w:szCs w:val="7"/>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rTSR Measurement Period End Date</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last day of the rTSR Measurement Period.</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S&amp;P 1500 Companies</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companies making up the S&amp;P Composite 1500 Consumer Durables &amp; Apparel Index as of the first</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day of the Performance Period.</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Target Value</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Subject to the forfeiture provisions of Section 4 of the Agreement, the Target Value shall be the dollar</w:t>
            </w:r>
          </w:p>
        </w:tc>
      </w:tr>
      <w:tr>
        <w:trPr>
          <w:trHeight w:val="238"/>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target amount granted at the beginning of the OP Measurement Period (or, if later, at the time an</w:t>
            </w: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Employee is determined by the Committee to be eligible to participate in the Plan), multiplied by a</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fraction, the numerator of which is months employed and participating for the OP Measurement Period</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the denominator of which is 36. For clarification, the dollar target amount is only counted once for</w:t>
            </w:r>
          </w:p>
        </w:tc>
      </w:tr>
      <w:tr>
        <w:trPr>
          <w:trHeight w:val="238"/>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corresponding cycle grant year in cases where grants are made on the same date for multiple</w:t>
            </w: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performance periods. Partial months employed/participating shall only be included in the numerator,</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above, if Employee is employed/participating for the majority of days in such month.</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Shareholder Return</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change in value expressed as a percentage of a given dollar amount invested in a company’s most</w:t>
            </w:r>
          </w:p>
        </w:tc>
      </w:tr>
      <w:tr>
        <w:trPr>
          <w:trHeight w:val="238"/>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widely publicly traded stock over the rTSR Measurement Period, taking into account both stock price</w:t>
            </w: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appreciation (or depreciation) and the reinvestment of dividends (including the cash value of non-cash</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dividends) in such stock of the company. The thirty (30) calendar-day average closing price of shares of</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and the stock of the S&amp;P 1500 Companies (i.e., the average closing prices over the</w:t>
            </w:r>
          </w:p>
        </w:tc>
      </w:tr>
      <w:tr>
        <w:trPr>
          <w:trHeight w:val="238"/>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period of trading days occurring in the thirty (30) calendar days prior to the first day of the rTSR</w:t>
            </w: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Measurement Period and ending on the first day of the rTSR Measurement Period and the average</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closing prices over the period of trading days occurring in the final thirty (30) calendar days ending on</w:t>
            </w:r>
          </w:p>
        </w:tc>
      </w:tr>
      <w:tr>
        <w:trPr>
          <w:trHeight w:val="238"/>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the rTSR Measurement Period End Date) will be used to value shares of Common Stock and the stock of</w:t>
            </w: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S&amp;P 1500 Companies. Dividend reinvestment will be calculated using the closing price of a share of</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or the stock of the applicable S&amp;P 1500 Company on the ex-dividend date or, if no</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trades were reported on such date, the latest preceding date for which a trade was reported. If a company</w:t>
            </w:r>
          </w:p>
        </w:tc>
      </w:tr>
      <w:tr>
        <w:trPr>
          <w:trHeight w:val="238"/>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that is included in the S&amp;P Composite 1500 Consumer Durables &amp; Apparel Index as of the first day of</w:t>
            </w: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rTSR Measurement Period ceases to be publicly traded (other than through bankruptcy) during the</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rTSR Measurement Period, or if it publicly announced that any such company will be acquired, whether</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 not such acquisition occurs during the rTSR Measurement Period, such company shall not be treated</w:t>
            </w:r>
          </w:p>
        </w:tc>
      </w:tr>
      <w:tr>
        <w:trPr>
          <w:trHeight w:val="238"/>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 a S&amp;P 1500 Company for purposes of the determinations herein and such company’s Total</w:t>
            </w: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Shareholder Return shall not be included for purposes of the calculations herein. Companies that were in</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S&amp;P Composite 1500 Consumer Durables &amp; Apparel Index on the first day of the rTSR</w:t>
            </w:r>
          </w:p>
        </w:tc>
      </w:tr>
      <w:tr>
        <w:trPr>
          <w:trHeight w:val="238"/>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Measurement Period but that exit due to bankruptcy before the end of the rTSR Measurement Period</w:t>
            </w: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remain S&amp;P 1500 Companies and are assigned a Total Shareholder Return value of -100%. Companies</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that exit the S&amp;P Composite 1500 Consumer Durables &amp; Apparel Index before the end of the rTSR</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Measurement Period but remain publicly-traded throughout the rTSR Measurement Period remain S&amp;P</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1500 Companies.</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1140"/>
          </w:cols>
          <w:pgMar w:left="420" w:top="146" w:right="339" w:bottom="55" w:gutter="0" w:footer="0" w:header="0"/>
        </w:sectPr>
      </w:pPr>
    </w:p>
    <w:bookmarkStart w:id="36" w:name="page37"/>
    <w:bookmarkEnd w:id="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70"/>
        </w:trPr>
        <w:tc>
          <w:tcPr>
            <w:tcW w:w="34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TSR Percentile Rank</w:t>
            </w:r>
          </w:p>
        </w:tc>
        <w:tc>
          <w:tcPr>
            <w:tcW w:w="77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percentage of Total Shareholder Return values among the S&amp;P 1500 Companies at the rTSR</w:t>
            </w:r>
          </w:p>
        </w:tc>
      </w:tr>
      <w:tr>
        <w:trPr>
          <w:trHeight w:val="238"/>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Measurement Period End Date that are equal to or lower than the Company’s Total Shareholder Return</w:t>
            </w: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 the rTSR Measurement Period End Date, provided that if the Company’s Total Shareholder Return</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falls between the Total Shareholder Return of two of the S&amp;P 1500 Companies the TSR Percentile Rank</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shall be adjusted by interpolating the Company’s Total Shareholder Return on a straight line basis</w:t>
            </w:r>
          </w:p>
        </w:tc>
      </w:tr>
      <w:tr>
        <w:trPr>
          <w:trHeight w:val="238"/>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between the Total Shareholder Return of the two S&amp;P 1500 that are closest to the Company’s. For</w:t>
            </w:r>
          </w:p>
        </w:tc>
      </w:tr>
      <w:tr>
        <w:trPr>
          <w:trHeight w:val="234"/>
        </w:trPr>
        <w:tc>
          <w:tcPr>
            <w:tcW w:w="3440" w:type="dxa"/>
            <w:vAlign w:val="bottom"/>
            <w:tcBorders>
              <w:left w:val="single" w:sz="8" w:color="auto"/>
              <w:right w:val="single" w:sz="8" w:color="auto"/>
            </w:tcBorders>
          </w:tcPr>
          <w:p>
            <w:pPr>
              <w:spacing w:after="0"/>
              <w:rPr>
                <w:sz w:val="20"/>
                <w:szCs w:val="20"/>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purposes of the TSR Percentile Rank calculation, the Company will be excluded from the group of S&amp;P</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1500 Companies.</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91"/>
        </w:trPr>
        <w:tc>
          <w:tcPr>
            <w:tcW w:w="34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 Factor</w:t>
            </w:r>
          </w:p>
        </w:tc>
        <w:tc>
          <w:tcPr>
            <w:tcW w:w="7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 set by the Compensation Committee within the first 90 days of the Performance Period.</w:t>
            </w:r>
          </w:p>
        </w:tc>
      </w:tr>
      <w:tr>
        <w:trPr>
          <w:trHeight w:val="81"/>
        </w:trPr>
        <w:tc>
          <w:tcPr>
            <w:tcW w:w="3440" w:type="dxa"/>
            <w:vAlign w:val="bottom"/>
            <w:tcBorders>
              <w:left w:val="single" w:sz="8" w:color="auto"/>
              <w:bottom w:val="single" w:sz="8" w:color="auto"/>
              <w:right w:val="single" w:sz="8" w:color="auto"/>
            </w:tcBorders>
          </w:tcPr>
          <w:p>
            <w:pPr>
              <w:spacing w:after="0"/>
              <w:rPr>
                <w:sz w:val="7"/>
                <w:szCs w:val="7"/>
                <w:color w:val="auto"/>
              </w:rPr>
            </w:pPr>
          </w:p>
        </w:tc>
        <w:tc>
          <w:tcPr>
            <w:tcW w:w="7700" w:type="dxa"/>
            <w:vAlign w:val="bottom"/>
            <w:tcBorders>
              <w:bottom w:val="single" w:sz="8" w:color="auto"/>
              <w:right w:val="single" w:sz="8" w:color="auto"/>
            </w:tcBorders>
          </w:tcPr>
          <w:p>
            <w:pPr>
              <w:spacing w:after="0"/>
              <w:rPr>
                <w:sz w:val="7"/>
                <w:szCs w:val="7"/>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Threshold OP</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 set by the Compensation Committee for each Fiscal Year during the OP Measurement Period within</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first 90 days of the Performance Period.</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Target OP</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 set by the Compensation Committee for each Fiscal Year during the OP Measurement Period within</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first 90 days of the Performance Period.</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Stretch OP</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 set by the Compensation Committee for each Fiscal Year during the OP Measurement Period within</w:t>
            </w:r>
          </w:p>
        </w:tc>
      </w:tr>
      <w:tr>
        <w:trPr>
          <w:trHeight w:val="243"/>
        </w:trPr>
        <w:tc>
          <w:tcPr>
            <w:tcW w:w="3440" w:type="dxa"/>
            <w:vAlign w:val="bottom"/>
            <w:tcBorders>
              <w:left w:val="single" w:sz="8" w:color="auto"/>
              <w:right w:val="single" w:sz="8" w:color="auto"/>
            </w:tcBorders>
          </w:tcPr>
          <w:p>
            <w:pPr>
              <w:spacing w:after="0"/>
              <w:rPr>
                <w:sz w:val="21"/>
                <w:szCs w:val="21"/>
                <w:color w:val="auto"/>
              </w:rPr>
            </w:pP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first 90 days of the Performance Period.</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50"/>
        </w:trPr>
        <w:tc>
          <w:tcPr>
            <w:tcW w:w="3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rTSR Factor</w:t>
            </w:r>
          </w:p>
        </w:tc>
        <w:tc>
          <w:tcPr>
            <w:tcW w:w="7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 set by the Compensation Committee within the first 90 days of the Performance Period.</w:t>
            </w:r>
          </w:p>
        </w:tc>
      </w:tr>
      <w:tr>
        <w:trPr>
          <w:trHeight w:val="216"/>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1140"/>
          </w:cols>
          <w:pgMar w:left="420" w:top="1118"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E. Hufnagel, certify that:</w:t>
      </w:r>
    </w:p>
    <w:p>
      <w:pPr>
        <w:spacing w:after="0" w:line="234"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Wolverine World Wide, Inc.;</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37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Christopher E. Hufnagel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Christopher E. Hufnagel</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Wolverine World Wide, Inc.</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Taryn L. Miller, certify that:</w:t>
      </w:r>
    </w:p>
    <w:p>
      <w:pPr>
        <w:spacing w:after="0" w:line="234"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Wolverine World Wide, Inc.;</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37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Taryn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Taryn L. Miller</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Wolverine World Wide, Inc.</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Solely for the purpose of complying with 18 U.S.C. § 1350, each of the undersigned hereby certifies in his capacity as an officer of Wolverine World Wide, Inc. (the “Company”) that the Quarterly Report of the Company on Form 10-Q for the quarter ended April 4, 2026 fully complies with the requirements of Section 13(a) or 15(d) of the Securities Exchange Act of 1934 and that information contained in such report fairly presents, in all material respects, the financial condition of the Company at the end of such period and the results of operations of the Company for such period.</w:t>
      </w: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E. Hufnagel</w:t>
            </w:r>
          </w:p>
        </w:tc>
      </w:tr>
      <w:tr>
        <w:trPr>
          <w:trHeight w:val="218"/>
        </w:trPr>
        <w:tc>
          <w:tcPr>
            <w:tcW w:w="49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E. Hufnagel</w:t>
            </w:r>
          </w:p>
        </w:tc>
      </w:tr>
      <w:tr>
        <w:trPr>
          <w:trHeight w:val="229"/>
        </w:trPr>
        <w:tc>
          <w:tcPr>
            <w:tcW w:w="494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94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0"/>
        </w:trPr>
        <w:tc>
          <w:tcPr>
            <w:tcW w:w="4940" w:type="dxa"/>
            <w:vAlign w:val="bottom"/>
          </w:tcPr>
          <w:p>
            <w:pPr>
              <w:spacing w:after="0"/>
              <w:rPr>
                <w:sz w:val="24"/>
                <w:szCs w:val="24"/>
                <w:color w:val="auto"/>
              </w:rPr>
            </w:pP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Taryn L. Miller</w:t>
            </w:r>
          </w:p>
        </w:tc>
      </w:tr>
      <w:tr>
        <w:trPr>
          <w:trHeight w:val="218"/>
        </w:trPr>
        <w:tc>
          <w:tcPr>
            <w:tcW w:w="49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Taryn L. Miller</w:t>
            </w:r>
          </w:p>
        </w:tc>
      </w:tr>
      <w:tr>
        <w:trPr>
          <w:trHeight w:val="230"/>
        </w:trPr>
        <w:tc>
          <w:tcPr>
            <w:tcW w:w="494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94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decimal"/>
      <w:start w:val="9"/>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5"/>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lowerLetter"/>
      <w:start w:val="3"/>
    </w:lvl>
  </w:abstractNum>
  <w:abstractNum w:abstractNumId="17">
    <w:nsid w:val="79838CB2"/>
    <w:multiLevelType w:val="hybridMultilevel"/>
    <w:lvl w:ilvl="0">
      <w:lvlJc w:val="left"/>
      <w:lvlText w:val="%1"/>
      <w:numFmt w:val="decimal"/>
      <w:start w:val="32"/>
    </w:lvl>
  </w:abstractNum>
  <w:abstractNum w:abstractNumId="18">
    <w:nsid w:val="4353D0CD"/>
    <w:multiLevelType w:val="hybridMultilevel"/>
    <w:lvl w:ilvl="0">
      <w:lvlJc w:val="left"/>
      <w:lvlText w:val="%1"/>
      <w:numFmt w:val="decimal"/>
      <w:start w:val="101"/>
    </w:lvl>
  </w:abstractNum>
  <w:abstractNum w:abstractNumId="19">
    <w:nsid w:val="B03E0C6"/>
    <w:multiLevelType w:val="hybridMultilevel"/>
    <w:lvl w:ilvl="0">
      <w:lvlJc w:val="left"/>
      <w:lvlText w:val="*"/>
      <w:numFmt w:val="bullet"/>
      <w:start w:val="1"/>
    </w:lvl>
    <w:lvl w:ilvl="1">
      <w:lvlJc w:val="left"/>
      <w:lvlText w:val="%2"/>
      <w:numFmt w:val="decimal"/>
      <w:start w:val="104"/>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lowerRoman"/>
      <w:start w:val="1"/>
    </w:lvl>
    <w:lvl w:ilvl="1">
      <w:lvlJc w:val="left"/>
      <w:lvlText w:val="(%2)"/>
      <w:numFmt w:val="lowerLetter"/>
      <w:start w:val="1"/>
    </w:lvl>
  </w:abstractNum>
  <w:abstractNum w:abstractNumId="22">
    <w:nsid w:val="71F32454"/>
    <w:multiLevelType w:val="hybridMultilevel"/>
    <w:lvl w:ilvl="0">
      <w:lvlJc w:val="left"/>
      <w:lvlText w:val="(%1)"/>
      <w:numFmt w:val="lowerRoman"/>
      <w:start w:val="1"/>
    </w:lvl>
    <w:lvl w:ilvl="1">
      <w:lvlJc w:val="left"/>
      <w:lvlText w:val="%2"/>
      <w:numFmt w:val="lowerLetter"/>
      <w:start w:val="1"/>
    </w:lvl>
  </w:abstractNum>
  <w:abstractNum w:abstractNumId="23">
    <w:nsid w:val="2CA8861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4">
    <w:nsid w:val="836C40E"/>
    <w:multiLevelType w:val="hybridMultilevel"/>
    <w:lvl w:ilvl="0">
      <w:lvlJc w:val="left"/>
      <w:lvlText w:val="(%1)"/>
      <w:numFmt w:val="lowerLetter"/>
      <w:start w:val="3"/>
    </w:lvl>
    <w:lvl w:ilvl="1">
      <w:lvlJc w:val="left"/>
      <w:lvlText w:val="%2."/>
      <w:numFmt w:val="decimal"/>
      <w:start w:val="5"/>
    </w:lvl>
  </w:abstractNum>
  <w:abstractNum w:abstractNumId="25">
    <w:nsid w:val="2901D82"/>
    <w:multiLevelType w:val="hybridMultilevel"/>
    <w:lvl w:ilvl="0">
      <w:lvlJc w:val="left"/>
      <w:lvlText w:val="%1."/>
      <w:numFmt w:val="decimal"/>
      <w:start w:val="8"/>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2"/>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7" Type="http://schemas.openxmlformats.org/officeDocument/2006/relationships/hyperlink" Target="https://www.sec.gov/Archives/edgar/data/110471/000110465914029839/a14-11062_1ex3d1.htm" TargetMode="External"/><Relationship Id="rId48" Type="http://schemas.openxmlformats.org/officeDocument/2006/relationships/hyperlink" Target="https://www.sec.gov/Archives/edgar/data/110471/000011047122000065/ex31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2026-05-14T12:56:41Z</dcterms:created>
  <dcterms:modified xsi:type="dcterms:W3CDTF">2026-05-14T12:56:41Z</dcterms:modified>
</cp:coreProperties>
</file>